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8F" w:rsidRPr="00AE49F1" w:rsidRDefault="00CC7C8F" w:rsidP="00CC7C8F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bookmarkStart w:id="0" w:name="_GoBack"/>
      <w:bookmarkEnd w:id="0"/>
      <w:r w:rsidRPr="00AE49F1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5915DF">
        <w:rPr>
          <w:rFonts w:ascii="Times New Roman" w:eastAsia="Times New Roman" w:hAnsi="Times New Roman" w:cs="Times New Roman"/>
          <w:b/>
          <w:lang w:eastAsia="ru-RU"/>
        </w:rPr>
        <w:t>«</w:t>
      </w:r>
      <w:r w:rsidR="005F6213">
        <w:rPr>
          <w:rFonts w:ascii="Times New Roman" w:eastAsia="Times New Roman" w:hAnsi="Times New Roman" w:cs="Times New Roman"/>
          <w:b/>
          <w:lang w:val="kk-KZ" w:eastAsia="ru-RU"/>
        </w:rPr>
        <w:t>Бекітемін</w:t>
      </w:r>
      <w:r w:rsidR="005915DF">
        <w:rPr>
          <w:rFonts w:ascii="Times New Roman" w:eastAsia="Times New Roman" w:hAnsi="Times New Roman" w:cs="Times New Roman"/>
          <w:b/>
          <w:lang w:val="kk-KZ" w:eastAsia="ru-RU"/>
        </w:rPr>
        <w:t>»</w:t>
      </w:r>
    </w:p>
    <w:p w:rsidR="005C5738" w:rsidRPr="005C5738" w:rsidRDefault="005F6213" w:rsidP="005F6213">
      <w:pPr>
        <w:spacing w:after="0"/>
        <w:ind w:left="3828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Алматы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қ., ҚР ДСМ </w:t>
      </w:r>
      <w:r w:rsidR="00CC7C8F" w:rsidRPr="005C5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Қ</w:t>
      </w:r>
      <w:r w:rsidR="005C5738" w:rsidRPr="005C5738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аза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қ</w:t>
      </w:r>
      <w:r w:rsidR="005C5738" w:rsidRPr="005C5738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д</w:t>
      </w:r>
      <w:r w:rsidRPr="005C5738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ерматологи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я және</w:t>
      </w:r>
      <w:r w:rsidRPr="005F621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C5738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инфекци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ялық аурулар</w:t>
      </w:r>
      <w:r w:rsidRPr="005F621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ғылыми</w:t>
      </w:r>
    </w:p>
    <w:p w:rsidR="00CC7C8F" w:rsidRPr="005F6213" w:rsidRDefault="005F6213" w:rsidP="005C573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орталығы</w:t>
      </w:r>
      <w:r w:rsidR="00CC7C8F" w:rsidRPr="005C5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lang w:val="kk-KZ" w:eastAsia="ru-RU"/>
        </w:rPr>
        <w:t>ШЖҚ РМК директорының м.а.</w:t>
      </w:r>
    </w:p>
    <w:p w:rsidR="00CC7C8F" w:rsidRPr="00AE49F1" w:rsidRDefault="00CC7C8F" w:rsidP="00CC7C8F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AE49F1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__________________ </w:t>
      </w:r>
      <w:r w:rsidR="005F6213">
        <w:rPr>
          <w:rFonts w:ascii="Times New Roman" w:eastAsia="Times New Roman" w:hAnsi="Times New Roman" w:cs="Times New Roman"/>
          <w:b/>
          <w:lang w:val="kk-KZ" w:eastAsia="ru-RU"/>
        </w:rPr>
        <w:t xml:space="preserve">Ұ.Ш. </w:t>
      </w:r>
      <w:r w:rsidR="005C5738">
        <w:rPr>
          <w:rFonts w:ascii="Times New Roman" w:eastAsia="Times New Roman" w:hAnsi="Times New Roman" w:cs="Times New Roman"/>
          <w:b/>
          <w:lang w:val="kk-KZ" w:eastAsia="ru-RU"/>
        </w:rPr>
        <w:t>Медеубеков</w:t>
      </w:r>
      <w:r w:rsidRPr="00AE49F1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</w:t>
      </w:r>
    </w:p>
    <w:p w:rsidR="0095788C" w:rsidRPr="0095788C" w:rsidRDefault="00CC7C8F" w:rsidP="0095788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AE49F1">
        <w:rPr>
          <w:rFonts w:ascii="Times New Roman" w:eastAsia="Times New Roman" w:hAnsi="Times New Roman" w:cs="Times New Roman"/>
          <w:b/>
          <w:lang w:val="kk-KZ" w:eastAsia="ru-RU"/>
        </w:rPr>
        <w:t xml:space="preserve"> «</w:t>
      </w:r>
      <w:r w:rsidR="005C5738">
        <w:rPr>
          <w:rFonts w:ascii="Times New Roman" w:eastAsia="Times New Roman" w:hAnsi="Times New Roman" w:cs="Times New Roman"/>
          <w:b/>
          <w:lang w:val="kk-KZ" w:eastAsia="ru-RU"/>
        </w:rPr>
        <w:t>10</w:t>
      </w:r>
      <w:r w:rsidR="007A0A5E">
        <w:rPr>
          <w:rFonts w:ascii="Times New Roman" w:eastAsia="Times New Roman" w:hAnsi="Times New Roman" w:cs="Times New Roman"/>
          <w:b/>
          <w:lang w:val="kk-KZ" w:eastAsia="ru-RU"/>
        </w:rPr>
        <w:t>»</w:t>
      </w:r>
      <w:r w:rsidR="00DD1717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5F6213">
        <w:rPr>
          <w:rFonts w:ascii="Times New Roman" w:eastAsia="Times New Roman" w:hAnsi="Times New Roman" w:cs="Times New Roman"/>
          <w:b/>
          <w:lang w:val="kk-KZ" w:eastAsia="ru-RU"/>
        </w:rPr>
        <w:t>қаңтар</w:t>
      </w:r>
      <w:r w:rsidR="00DD1717" w:rsidRPr="00A916F4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AE49F1">
        <w:rPr>
          <w:rFonts w:ascii="Times New Roman" w:eastAsia="Times New Roman" w:hAnsi="Times New Roman" w:cs="Times New Roman"/>
          <w:b/>
          <w:lang w:val="kk-KZ" w:eastAsia="ru-RU"/>
        </w:rPr>
        <w:t>202</w:t>
      </w:r>
      <w:r w:rsidR="005C5738">
        <w:rPr>
          <w:rFonts w:ascii="Times New Roman" w:eastAsia="Times New Roman" w:hAnsi="Times New Roman" w:cs="Times New Roman"/>
          <w:b/>
          <w:lang w:val="kk-KZ" w:eastAsia="ru-RU"/>
        </w:rPr>
        <w:t>5</w:t>
      </w:r>
      <w:r w:rsidRPr="00AE49F1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5F6213">
        <w:rPr>
          <w:rFonts w:ascii="Times New Roman" w:eastAsia="Times New Roman" w:hAnsi="Times New Roman" w:cs="Times New Roman"/>
          <w:b/>
          <w:lang w:val="kk-KZ" w:eastAsia="ru-RU"/>
        </w:rPr>
        <w:t>жыл</w:t>
      </w:r>
    </w:p>
    <w:p w:rsidR="00CC7C8F" w:rsidRPr="00A916F4" w:rsidRDefault="00CC7C8F" w:rsidP="00CC7C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</w:p>
    <w:p w:rsidR="00383794" w:rsidRDefault="00383794" w:rsidP="00383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x-none"/>
        </w:rPr>
      </w:pPr>
      <w:r>
        <w:rPr>
          <w:rFonts w:ascii="Times New Roman" w:eastAsia="Times New Roman" w:hAnsi="Times New Roman" w:cs="Times New Roman"/>
          <w:b/>
          <w:lang w:val="kk-KZ" w:eastAsia="x-none"/>
        </w:rPr>
        <w:t>Т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ендер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қорытындысы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шығарылғанға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дейін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бір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көзден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алу</w:t>
      </w:r>
      <w:proofErr w:type="spellEnd"/>
      <w:r>
        <w:rPr>
          <w:rFonts w:ascii="Times New Roman" w:eastAsia="Times New Roman" w:hAnsi="Times New Roman" w:cs="Times New Roman"/>
          <w:b/>
          <w:lang w:val="kk-KZ" w:eastAsia="x-none"/>
        </w:rPr>
        <w:t xml:space="preserve"> тәсілімен </w:t>
      </w:r>
    </w:p>
    <w:p w:rsidR="00383794" w:rsidRPr="00383794" w:rsidRDefault="00383794" w:rsidP="00383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x-none"/>
        </w:rPr>
      </w:pPr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2025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жылға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арналған</w:t>
      </w:r>
      <w:proofErr w:type="spellEnd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реагенттерді</w:t>
      </w:r>
      <w:proofErr w:type="spellEnd"/>
      <w:r>
        <w:rPr>
          <w:rFonts w:ascii="Times New Roman" w:eastAsia="Times New Roman" w:hAnsi="Times New Roman" w:cs="Times New Roman"/>
          <w:b/>
          <w:lang w:val="kk-KZ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  <w:lang w:val="kk-KZ" w:eastAsia="x-none"/>
        </w:rPr>
        <w:t xml:space="preserve"> алу жөнінде</w:t>
      </w:r>
    </w:p>
    <w:p w:rsidR="00383794" w:rsidRPr="00383794" w:rsidRDefault="00383794" w:rsidP="00383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x-none"/>
        </w:rPr>
      </w:pPr>
      <w:r w:rsidRPr="00383794">
        <w:rPr>
          <w:rFonts w:ascii="Times New Roman" w:eastAsia="Times New Roman" w:hAnsi="Times New Roman" w:cs="Times New Roman"/>
          <w:b/>
          <w:lang w:val="x-none" w:eastAsia="x-none"/>
        </w:rPr>
        <w:t xml:space="preserve">№1 </w:t>
      </w:r>
      <w:proofErr w:type="spellStart"/>
      <w:r w:rsidRPr="00383794">
        <w:rPr>
          <w:rFonts w:ascii="Times New Roman" w:eastAsia="Times New Roman" w:hAnsi="Times New Roman" w:cs="Times New Roman"/>
          <w:b/>
          <w:lang w:val="x-none" w:eastAsia="x-none"/>
        </w:rPr>
        <w:t>хаттама</w:t>
      </w:r>
      <w:proofErr w:type="spellEnd"/>
    </w:p>
    <w:p w:rsidR="00383794" w:rsidRPr="00383794" w:rsidRDefault="00383794" w:rsidP="0038379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x-none" w:eastAsia="x-none"/>
        </w:rPr>
      </w:pPr>
    </w:p>
    <w:p w:rsidR="00383794" w:rsidRPr="00383794" w:rsidRDefault="00A916F4" w:rsidP="0038379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kk-KZ" w:eastAsia="x-none"/>
        </w:rPr>
        <w:tab/>
      </w:r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1.</w:t>
      </w:r>
      <w:r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lang w:val="x-none" w:eastAsia="x-none"/>
        </w:rPr>
        <w:t>ҚР ДСМ "</w:t>
      </w:r>
      <w:proofErr w:type="spellStart"/>
      <w:r>
        <w:rPr>
          <w:rFonts w:ascii="Times New Roman" w:eastAsia="Times New Roman" w:hAnsi="Times New Roman" w:cs="Times New Roman"/>
          <w:lang w:val="x-none" w:eastAsia="x-none"/>
        </w:rPr>
        <w:t>Қазақ</w:t>
      </w:r>
      <w:proofErr w:type="spellEnd"/>
      <w:r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lang w:val="kk-KZ" w:eastAsia="x-none"/>
        </w:rPr>
        <w:t>д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ерматология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және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lang w:val="kk-KZ" w:eastAsia="x-none"/>
        </w:rPr>
        <w:t>инфекциялық</w:t>
      </w:r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аурулар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ғылыми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орталығы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" ШЖҚ РМК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сатып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алуды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ұйымдастырушы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: Алматы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қаласы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Райымбек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даңғылы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, 60-үй</w:t>
      </w:r>
      <w:r w:rsidR="001362EC">
        <w:rPr>
          <w:rFonts w:ascii="Times New Roman" w:eastAsia="Times New Roman" w:hAnsi="Times New Roman" w:cs="Times New Roman"/>
          <w:lang w:val="kk-KZ" w:eastAsia="x-none"/>
        </w:rPr>
        <w:t>де</w:t>
      </w:r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орналасқан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клиникалық-диагностикалық</w:t>
      </w:r>
      <w:proofErr w:type="spellEnd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зертхана</w:t>
      </w:r>
      <w:proofErr w:type="spellEnd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бөлімшесі</w:t>
      </w:r>
      <w:proofErr w:type="spellEnd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үшін</w:t>
      </w:r>
      <w:proofErr w:type="spellEnd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тендер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қорытындысы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шығарылғанға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дейін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бір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көзден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ал</w:t>
      </w:r>
      <w:r w:rsidR="001362EC">
        <w:rPr>
          <w:rFonts w:ascii="Times New Roman" w:eastAsia="Times New Roman" w:hAnsi="Times New Roman" w:cs="Times New Roman"/>
          <w:lang w:val="kk-KZ" w:eastAsia="x-none"/>
        </w:rPr>
        <w:t>у</w:t>
      </w:r>
      <w:proofErr w:type="spellEnd"/>
      <w:r w:rsidR="001362EC">
        <w:rPr>
          <w:rFonts w:ascii="Times New Roman" w:eastAsia="Times New Roman" w:hAnsi="Times New Roman" w:cs="Times New Roman"/>
          <w:lang w:val="kk-KZ" w:eastAsia="x-none"/>
        </w:rPr>
        <w:t xml:space="preserve"> тәсілімен </w:t>
      </w:r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2025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жылға</w:t>
      </w:r>
      <w:proofErr w:type="spellEnd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арналған</w:t>
      </w:r>
      <w:proofErr w:type="spellEnd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медициналық</w:t>
      </w:r>
      <w:proofErr w:type="spellEnd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726D9E" w:rsidRPr="00383794">
        <w:rPr>
          <w:rFonts w:ascii="Times New Roman" w:eastAsia="Times New Roman" w:hAnsi="Times New Roman" w:cs="Times New Roman"/>
          <w:lang w:val="x-none" w:eastAsia="x-none"/>
        </w:rPr>
        <w:t>бұйымдарды</w:t>
      </w:r>
      <w:proofErr w:type="spellEnd"/>
      <w:r w:rsidR="00726D9E">
        <w:rPr>
          <w:rFonts w:ascii="Times New Roman" w:eastAsia="Times New Roman" w:hAnsi="Times New Roman" w:cs="Times New Roman"/>
          <w:lang w:val="kk-KZ" w:eastAsia="x-none"/>
        </w:rPr>
        <w:t xml:space="preserve"> сатып алуды жұргізді</w:t>
      </w:r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383794" w:rsidRPr="00383794" w:rsidRDefault="00383794" w:rsidP="0038379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x-none" w:eastAsia="x-none"/>
        </w:rPr>
      </w:pP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Сатып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алуға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бөлінген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сома: 46 544 636 (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қырық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алты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миллион бес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жүз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қырық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төрт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мың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алты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жүз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отыз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алты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)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теңге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, 00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тиын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.   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Бір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көзден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сатып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алу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тәсілін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қолдану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негіздемесі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– ҚР ДСМ "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Қазақ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6600B6" w:rsidRPr="006600B6">
        <w:rPr>
          <w:rFonts w:ascii="Times New Roman" w:eastAsia="Times New Roman" w:hAnsi="Times New Roman" w:cs="Times New Roman"/>
          <w:lang w:val="kk-KZ" w:eastAsia="x-none"/>
        </w:rPr>
        <w:t>д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ерматология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және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6600B6" w:rsidRPr="006600B6">
        <w:rPr>
          <w:rFonts w:ascii="Times New Roman" w:eastAsia="Times New Roman" w:hAnsi="Times New Roman" w:cs="Times New Roman"/>
          <w:lang w:val="kk-KZ" w:eastAsia="x-none"/>
        </w:rPr>
        <w:t>инфекциялық</w:t>
      </w:r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аурулар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ғылыми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орталығы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" ШЖҚ РМК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басшысының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2025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жылғы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06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қаңтардағы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№ 01 - п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бұйрығы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сондай-ақ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Қазақстан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Республикасы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Денсаулық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сақтау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министрінің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2023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жылғы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07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маусымдағы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№110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бұйрығымен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бекітілген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Тегін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медициналық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көмектің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кепілдік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берілген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көлемі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шеңберінде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тергеу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изоляторлары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мен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қылмыстық-атқару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(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пенитенциарлық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)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жүйесінің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мекемелерінде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ұсталатын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адамдар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үшін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медициналық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көмектің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қосымша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көлемін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бюджет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қаражаты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есебінен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және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(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немесе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)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міндетті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әлеуметтік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медициналық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сақтандыру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жүйесінде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дәрілік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заттарды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медициналық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бұйымдарды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және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арнайы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емдік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өнімдерді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сатып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алуды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фармацевтикалық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көрсетілетін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қызметтерді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сатып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алуды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ұйымдастыру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және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өткізу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>қағидаларын</w:t>
      </w:r>
      <w:r w:rsidR="006600B6">
        <w:rPr>
          <w:rFonts w:ascii="Times New Roman" w:eastAsia="Times New Roman" w:hAnsi="Times New Roman" w:cs="Times New Roman"/>
          <w:lang w:val="kk-KZ" w:eastAsia="x-none"/>
        </w:rPr>
        <w:t>ың</w:t>
      </w:r>
      <w:proofErr w:type="spellEnd"/>
      <w:r w:rsidR="006600B6" w:rsidRP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6600B6">
        <w:rPr>
          <w:rFonts w:ascii="Times New Roman" w:eastAsia="Times New Roman" w:hAnsi="Times New Roman" w:cs="Times New Roman"/>
          <w:lang w:val="x-none" w:eastAsia="x-none"/>
        </w:rPr>
        <w:t>(</w:t>
      </w:r>
      <w:r w:rsidR="006600B6">
        <w:rPr>
          <w:rFonts w:ascii="Times New Roman" w:eastAsia="Times New Roman" w:hAnsi="Times New Roman" w:cs="Times New Roman"/>
          <w:lang w:val="kk-KZ" w:eastAsia="x-none"/>
        </w:rPr>
        <w:t>б</w:t>
      </w:r>
      <w:proofErr w:type="spellStart"/>
      <w:r w:rsidR="006600B6">
        <w:rPr>
          <w:rFonts w:ascii="Times New Roman" w:eastAsia="Times New Roman" w:hAnsi="Times New Roman" w:cs="Times New Roman"/>
          <w:lang w:val="x-none" w:eastAsia="x-none"/>
        </w:rPr>
        <w:t>ұдан</w:t>
      </w:r>
      <w:proofErr w:type="spellEnd"/>
      <w:r w:rsidR="006600B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6600B6">
        <w:rPr>
          <w:rFonts w:ascii="Times New Roman" w:eastAsia="Times New Roman" w:hAnsi="Times New Roman" w:cs="Times New Roman"/>
          <w:lang w:val="x-none" w:eastAsia="x-none"/>
        </w:rPr>
        <w:t>әрі</w:t>
      </w:r>
      <w:proofErr w:type="spellEnd"/>
      <w:r w:rsidR="006600B6">
        <w:rPr>
          <w:rFonts w:ascii="Times New Roman" w:eastAsia="Times New Roman" w:hAnsi="Times New Roman" w:cs="Times New Roman"/>
          <w:lang w:val="x-none" w:eastAsia="x-none"/>
        </w:rPr>
        <w:t xml:space="preserve"> – </w:t>
      </w:r>
      <w:r w:rsidR="006600B6">
        <w:rPr>
          <w:rFonts w:ascii="Times New Roman" w:eastAsia="Times New Roman" w:hAnsi="Times New Roman" w:cs="Times New Roman"/>
          <w:lang w:val="kk-KZ" w:eastAsia="x-none"/>
        </w:rPr>
        <w:t>Қ</w:t>
      </w:r>
      <w:proofErr w:type="spellStart"/>
      <w:r w:rsidRPr="00383794">
        <w:rPr>
          <w:rFonts w:ascii="Times New Roman" w:eastAsia="Times New Roman" w:hAnsi="Times New Roman" w:cs="Times New Roman"/>
          <w:lang w:val="x-none" w:eastAsia="x-none"/>
        </w:rPr>
        <w:t>ағидалар</w:t>
      </w:r>
      <w:proofErr w:type="spellEnd"/>
      <w:r w:rsidRPr="00383794">
        <w:rPr>
          <w:rFonts w:ascii="Times New Roman" w:eastAsia="Times New Roman" w:hAnsi="Times New Roman" w:cs="Times New Roman"/>
          <w:lang w:val="x-none" w:eastAsia="x-none"/>
        </w:rPr>
        <w:t>)</w:t>
      </w:r>
      <w:r w:rsidR="006600B6">
        <w:rPr>
          <w:rFonts w:ascii="Times New Roman" w:eastAsia="Times New Roman" w:hAnsi="Times New Roman" w:cs="Times New Roman"/>
          <w:lang w:val="kk-KZ" w:eastAsia="x-none"/>
        </w:rPr>
        <w:t xml:space="preserve"> 4- тарауы, 84- тармағының 3) тармақшасы</w:t>
      </w:r>
      <w:r w:rsidRPr="00383794">
        <w:rPr>
          <w:rFonts w:ascii="Times New Roman" w:eastAsia="Times New Roman" w:hAnsi="Times New Roman" w:cs="Times New Roman"/>
          <w:lang w:val="x-none" w:eastAsia="x-none"/>
        </w:rPr>
        <w:t>;</w:t>
      </w:r>
    </w:p>
    <w:p w:rsidR="00DF3A60" w:rsidRDefault="006600B6" w:rsidP="00DF3A6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kk-KZ" w:eastAsia="x-none"/>
        </w:rPr>
      </w:pPr>
      <w:r>
        <w:rPr>
          <w:rFonts w:ascii="Times New Roman" w:eastAsia="Times New Roman" w:hAnsi="Times New Roman" w:cs="Times New Roman"/>
          <w:lang w:val="kk-KZ" w:eastAsia="x-none"/>
        </w:rPr>
        <w:t xml:space="preserve">            </w:t>
      </w:r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2.</w:t>
      </w:r>
      <w:r>
        <w:rPr>
          <w:rFonts w:ascii="Times New Roman" w:eastAsia="Times New Roman" w:hAnsi="Times New Roman" w:cs="Times New Roman"/>
          <w:lang w:val="kk-KZ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Әлеуетті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өнім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беруші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осы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Қағидалардың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3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және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4-тарауларында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белгіленген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талаптарға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сәйкес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келеді</w:t>
      </w:r>
      <w:proofErr w:type="spellEnd"/>
      <w:r w:rsidR="00383794" w:rsidRPr="00383794">
        <w:rPr>
          <w:rFonts w:ascii="Times New Roman" w:eastAsia="Times New Roman" w:hAnsi="Times New Roman" w:cs="Times New Roman"/>
          <w:lang w:val="x-none" w:eastAsia="x-none"/>
        </w:rPr>
        <w:t>.</w:t>
      </w:r>
      <w:r w:rsidR="00383794">
        <w:rPr>
          <w:rFonts w:ascii="Times New Roman" w:eastAsia="Times New Roman" w:hAnsi="Times New Roman" w:cs="Times New Roman"/>
          <w:lang w:val="kk-KZ" w:eastAsia="x-none"/>
        </w:rPr>
        <w:t xml:space="preserve"> </w:t>
      </w:r>
    </w:p>
    <w:p w:rsidR="009546DB" w:rsidRPr="00FF4FE4" w:rsidRDefault="009546DB" w:rsidP="00DF3A6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000"/>
        <w:gridCol w:w="3918"/>
        <w:gridCol w:w="1022"/>
        <w:gridCol w:w="820"/>
        <w:gridCol w:w="1300"/>
        <w:gridCol w:w="1716"/>
      </w:tblGrid>
      <w:tr w:rsidR="006B0E64" w:rsidRPr="00C063CD" w:rsidTr="001C7541">
        <w:trPr>
          <w:trHeight w:val="69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E64" w:rsidRPr="00A352F7" w:rsidRDefault="006600B6" w:rsidP="006600B6">
            <w:pPr>
              <w:pStyle w:val="a7"/>
              <w:spacing w:after="0"/>
              <w:rPr>
                <w:b/>
                <w:sz w:val="22"/>
                <w:szCs w:val="22"/>
              </w:rPr>
            </w:pPr>
            <w:r w:rsidRPr="00E53239">
              <w:rPr>
                <w:b/>
                <w:bCs/>
                <w:sz w:val="20"/>
                <w:szCs w:val="20"/>
              </w:rPr>
              <w:t>Лот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B0E64" w:rsidRPr="00E53239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64" w:rsidRPr="006600B6" w:rsidRDefault="006600B6" w:rsidP="006B0E64">
            <w:pPr>
              <w:pStyle w:val="a7"/>
              <w:spacing w:after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64" w:rsidRPr="006600B6" w:rsidRDefault="006600B6" w:rsidP="006600B6">
            <w:pPr>
              <w:pStyle w:val="a7"/>
              <w:spacing w:after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Өлш</w:t>
            </w:r>
            <w:r w:rsidR="006B0E64" w:rsidRPr="00E53239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kk-KZ"/>
              </w:rPr>
              <w:t>бірл.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64" w:rsidRPr="00A352F7" w:rsidRDefault="006600B6" w:rsidP="006B0E64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Саны </w:t>
            </w:r>
            <w:r w:rsidR="006B0E64" w:rsidRPr="00E532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64" w:rsidRPr="00A352F7" w:rsidRDefault="001C7541" w:rsidP="001C7541">
            <w:pPr>
              <w:pStyle w:val="a7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Бір бірл. бағасы</w:t>
            </w:r>
            <w:r>
              <w:rPr>
                <w:b/>
                <w:bCs/>
                <w:sz w:val="20"/>
                <w:szCs w:val="20"/>
              </w:rPr>
              <w:t>,  те</w:t>
            </w:r>
            <w:r>
              <w:rPr>
                <w:b/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6B0E64" w:rsidRPr="00E53239">
              <w:rPr>
                <w:b/>
                <w:bCs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64" w:rsidRPr="00A352F7" w:rsidRDefault="006B0E64" w:rsidP="001C7541">
            <w:pPr>
              <w:pStyle w:val="a7"/>
              <w:spacing w:after="0"/>
              <w:jc w:val="center"/>
              <w:rPr>
                <w:b/>
                <w:sz w:val="22"/>
                <w:szCs w:val="22"/>
              </w:rPr>
            </w:pPr>
            <w:r w:rsidRPr="00E53239">
              <w:rPr>
                <w:b/>
                <w:bCs/>
                <w:sz w:val="20"/>
                <w:szCs w:val="20"/>
              </w:rPr>
              <w:t>С</w:t>
            </w:r>
            <w:r w:rsidR="001C7541">
              <w:rPr>
                <w:b/>
                <w:bCs/>
                <w:sz w:val="20"/>
                <w:szCs w:val="20"/>
                <w:lang w:val="kk-KZ"/>
              </w:rPr>
              <w:t>омасы</w:t>
            </w:r>
            <w:r w:rsidR="001C7541">
              <w:rPr>
                <w:b/>
                <w:bCs/>
                <w:sz w:val="20"/>
                <w:szCs w:val="20"/>
              </w:rPr>
              <w:t xml:space="preserve">,  </w:t>
            </w:r>
            <w:r w:rsidR="001C7541">
              <w:rPr>
                <w:b/>
                <w:bCs/>
                <w:sz w:val="20"/>
                <w:szCs w:val="20"/>
              </w:rPr>
              <w:br/>
              <w:t>те</w:t>
            </w:r>
            <w:r w:rsidR="001C7541">
              <w:rPr>
                <w:b/>
                <w:bCs/>
                <w:sz w:val="20"/>
                <w:szCs w:val="20"/>
                <w:lang w:val="kk-KZ"/>
              </w:rPr>
              <w:t>ң</w:t>
            </w:r>
            <w:proofErr w:type="spellStart"/>
            <w:r w:rsidRPr="00E53239">
              <w:rPr>
                <w:b/>
                <w:bCs/>
                <w:sz w:val="20"/>
                <w:szCs w:val="20"/>
              </w:rPr>
              <w:t>ге</w:t>
            </w:r>
            <w:proofErr w:type="spellEnd"/>
          </w:p>
        </w:tc>
      </w:tr>
      <w:tr w:rsidR="006B0E64" w:rsidRPr="00C063CD" w:rsidTr="001C7541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E64" w:rsidRPr="00B731C2" w:rsidRDefault="00B731C2" w:rsidP="00B731C2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B731C2">
              <w:rPr>
                <w:sz w:val="20"/>
                <w:szCs w:val="20"/>
                <w:lang w:val="kk-KZ"/>
              </w:rPr>
              <w:t xml:space="preserve"> типті АИТВ-ға антиденелерді</w:t>
            </w:r>
            <w:r w:rsidRPr="00B731C2">
              <w:rPr>
                <w:sz w:val="20"/>
                <w:szCs w:val="20"/>
              </w:rPr>
              <w:t xml:space="preserve"> </w:t>
            </w:r>
            <w:r w:rsidR="006B0E64" w:rsidRPr="006F2C02">
              <w:rPr>
                <w:sz w:val="20"/>
                <w:szCs w:val="20"/>
              </w:rPr>
              <w:t xml:space="preserve">(М </w:t>
            </w:r>
            <w:r>
              <w:rPr>
                <w:sz w:val="20"/>
                <w:szCs w:val="20"/>
                <w:lang w:val="kk-KZ"/>
              </w:rPr>
              <w:t>және</w:t>
            </w:r>
            <w:r w:rsidR="006B0E64" w:rsidRPr="006F2C02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  <w:lang w:val="kk-KZ"/>
              </w:rPr>
              <w:t xml:space="preserve"> топтары</w:t>
            </w:r>
            <w:r w:rsidR="006B0E64" w:rsidRPr="006F2C02">
              <w:rPr>
                <w:sz w:val="20"/>
                <w:szCs w:val="20"/>
              </w:rPr>
              <w:t>), 2</w:t>
            </w:r>
            <w:r>
              <w:rPr>
                <w:sz w:val="20"/>
                <w:szCs w:val="20"/>
                <w:lang w:val="kk-KZ"/>
              </w:rPr>
              <w:t xml:space="preserve"> типті АИТВ-ға антиденелерді</w:t>
            </w:r>
            <w:r w:rsidR="006B0E64" w:rsidRPr="006F2C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B0E64" w:rsidRPr="006F2C02">
              <w:rPr>
                <w:sz w:val="20"/>
                <w:szCs w:val="20"/>
              </w:rPr>
              <w:t>кассет</w:t>
            </w:r>
            <w:r>
              <w:rPr>
                <w:sz w:val="20"/>
                <w:szCs w:val="20"/>
                <w:lang w:val="kk-KZ"/>
              </w:rPr>
              <w:t xml:space="preserve">ада </w:t>
            </w:r>
            <w:r w:rsidRPr="006F2C02">
              <w:rPr>
                <w:sz w:val="20"/>
                <w:szCs w:val="20"/>
              </w:rPr>
              <w:t>р24</w:t>
            </w:r>
            <w:r>
              <w:rPr>
                <w:sz w:val="20"/>
                <w:szCs w:val="20"/>
                <w:lang w:val="kk-KZ"/>
              </w:rPr>
              <w:t xml:space="preserve"> АИТВ антигенін анықтауға арналған р</w:t>
            </w:r>
            <w:proofErr w:type="spellStart"/>
            <w:r w:rsidRPr="006F2C02">
              <w:rPr>
                <w:sz w:val="20"/>
                <w:szCs w:val="20"/>
              </w:rPr>
              <w:t>еагент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E64" w:rsidRPr="001C7541" w:rsidRDefault="001C7541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қапт.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  <w:lang w:val="kk-KZ"/>
              </w:rPr>
              <w:t>1</w:t>
            </w:r>
            <w:r w:rsidRPr="006F2C02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E64" w:rsidRPr="006F2C02" w:rsidRDefault="006B0E64" w:rsidP="006B0E64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150 000,00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1 500 000,00</w:t>
            </w:r>
          </w:p>
        </w:tc>
      </w:tr>
      <w:tr w:rsidR="006B0E64" w:rsidRPr="00C063CD" w:rsidTr="001C7541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F2C02">
              <w:rPr>
                <w:color w:val="000000"/>
                <w:sz w:val="20"/>
                <w:szCs w:val="20"/>
              </w:rPr>
              <w:t>BigDye</w:t>
            </w:r>
            <w:proofErr w:type="spellEnd"/>
            <w:r w:rsidRPr="006F2C02">
              <w:rPr>
                <w:color w:val="000000"/>
                <w:sz w:val="20"/>
                <w:szCs w:val="20"/>
              </w:rPr>
              <w:t xml:space="preserve"> ™ </w:t>
            </w:r>
            <w:proofErr w:type="spellStart"/>
            <w:r w:rsidRPr="006F2C02">
              <w:rPr>
                <w:color w:val="000000"/>
                <w:sz w:val="20"/>
                <w:szCs w:val="20"/>
              </w:rPr>
              <w:t>Terminator</w:t>
            </w:r>
            <w:proofErr w:type="spellEnd"/>
            <w:r w:rsidRPr="006F2C02">
              <w:rPr>
                <w:color w:val="000000"/>
                <w:sz w:val="20"/>
                <w:szCs w:val="20"/>
              </w:rPr>
              <w:t xml:space="preserve"> v3.1</w:t>
            </w:r>
            <w:r w:rsidR="00E70356">
              <w:rPr>
                <w:color w:val="000000"/>
                <w:sz w:val="20"/>
                <w:szCs w:val="20"/>
                <w:lang w:val="kk-KZ"/>
              </w:rPr>
              <w:t xml:space="preserve"> секвенирлеуге арналған жиынтық</w:t>
            </w:r>
            <w:r w:rsidRPr="006F2C02">
              <w:rPr>
                <w:color w:val="000000"/>
                <w:sz w:val="20"/>
                <w:szCs w:val="20"/>
              </w:rPr>
              <w:t xml:space="preserve">, 100 </w:t>
            </w:r>
            <w:proofErr w:type="spellStart"/>
            <w:r w:rsidRPr="006F2C02">
              <w:rPr>
                <w:color w:val="000000"/>
                <w:sz w:val="20"/>
                <w:szCs w:val="20"/>
              </w:rPr>
              <w:t>реак</w:t>
            </w:r>
            <w:proofErr w:type="spellEnd"/>
            <w:r w:rsidRPr="006F2C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1C7541" w:rsidRDefault="001C7541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6F2C02" w:rsidRDefault="006B0E64" w:rsidP="006B0E64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6F2C02">
              <w:rPr>
                <w:color w:val="000000"/>
                <w:sz w:val="20"/>
                <w:szCs w:val="20"/>
              </w:rPr>
              <w:t>1 929 012,00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color w:val="000000"/>
                <w:sz w:val="20"/>
                <w:szCs w:val="20"/>
              </w:rPr>
              <w:t>5 787 036,00</w:t>
            </w:r>
          </w:p>
        </w:tc>
      </w:tr>
      <w:tr w:rsidR="006B0E64" w:rsidRPr="00C063CD" w:rsidTr="001C7541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E64" w:rsidRPr="006F2C02" w:rsidRDefault="006B0E64" w:rsidP="00E70356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color w:val="000000"/>
                <w:sz w:val="20"/>
                <w:szCs w:val="20"/>
              </w:rPr>
              <w:t xml:space="preserve">Полимер POP-7 ™  </w:t>
            </w:r>
            <w:proofErr w:type="spellStart"/>
            <w:r w:rsidRPr="006F2C02">
              <w:rPr>
                <w:color w:val="000000"/>
                <w:sz w:val="20"/>
                <w:szCs w:val="20"/>
              </w:rPr>
              <w:t>генети</w:t>
            </w:r>
            <w:proofErr w:type="spellEnd"/>
            <w:r w:rsidR="00E70356">
              <w:rPr>
                <w:color w:val="000000"/>
                <w:sz w:val="20"/>
                <w:szCs w:val="20"/>
                <w:lang w:val="kk-KZ"/>
              </w:rPr>
              <w:t>калық</w:t>
            </w:r>
            <w:r w:rsidRPr="006F2C02">
              <w:rPr>
                <w:color w:val="000000"/>
                <w:sz w:val="20"/>
                <w:szCs w:val="20"/>
              </w:rPr>
              <w:t xml:space="preserve"> анализатор</w:t>
            </w:r>
            <w:r w:rsidR="00E70356">
              <w:rPr>
                <w:color w:val="000000"/>
                <w:sz w:val="20"/>
                <w:szCs w:val="20"/>
                <w:lang w:val="kk-KZ"/>
              </w:rPr>
              <w:t>ларға арналған</w:t>
            </w:r>
            <w:r w:rsidRPr="006F2C02">
              <w:rPr>
                <w:color w:val="000000"/>
                <w:sz w:val="20"/>
                <w:szCs w:val="20"/>
              </w:rPr>
              <w:br/>
              <w:t>3500/3500xL,960</w:t>
            </w:r>
            <w:r w:rsidR="00E70356">
              <w:rPr>
                <w:color w:val="000000"/>
                <w:sz w:val="20"/>
                <w:szCs w:val="20"/>
                <w:lang w:val="kk-KZ"/>
              </w:rPr>
              <w:t xml:space="preserve"> үлгі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1C7541" w:rsidRDefault="001C7541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6F2C02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6F2C02" w:rsidRDefault="006B0E64" w:rsidP="006B0E64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6F2C02">
              <w:rPr>
                <w:color w:val="000000"/>
                <w:sz w:val="20"/>
                <w:szCs w:val="20"/>
              </w:rPr>
              <w:t>980 000,00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E64" w:rsidRPr="006F2C02" w:rsidRDefault="006B0E64" w:rsidP="006B0E6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980 000,00</w:t>
            </w:r>
          </w:p>
        </w:tc>
      </w:tr>
      <w:tr w:rsidR="0044462E" w:rsidRPr="00C063CD" w:rsidTr="001C7541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62E" w:rsidRPr="006F2C02" w:rsidRDefault="0044462E" w:rsidP="0044462E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6F2C0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62E" w:rsidRPr="003B7203" w:rsidRDefault="0080743E" w:rsidP="00807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АИТВ</w:t>
            </w:r>
            <w:r w:rsidR="0044462E" w:rsidRPr="0080743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вирусы лизатын қолданып, </w:t>
            </w:r>
            <w:r w:rsidRPr="0080743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иммуноблот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әдісімен қан сарысуында немесе плазмасында АИТВ</w:t>
            </w:r>
            <w:r w:rsidRPr="0080743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-ге антиденелердің болуын растауға арналған 18 анықтамаға тест-жүйе</w:t>
            </w:r>
            <w:r w:rsidR="0044462E" w:rsidRPr="0080743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Жиынтықта науамен</w:t>
            </w:r>
            <w:r w:rsidR="0044462E" w:rsidRPr="006F2C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462E" w:rsidRPr="006F2C02" w:rsidRDefault="001C7541" w:rsidP="0044462E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1C7541">
              <w:rPr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462E" w:rsidRPr="006F2C02" w:rsidRDefault="0044462E" w:rsidP="0044462E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462E" w:rsidRPr="006F2C02" w:rsidRDefault="0044462E" w:rsidP="0044462E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 xml:space="preserve">454 </w:t>
            </w:r>
            <w:r w:rsidRPr="006F2C02">
              <w:rPr>
                <w:sz w:val="20"/>
                <w:szCs w:val="20"/>
                <w:lang w:val="kk-KZ"/>
              </w:rPr>
              <w:t>8</w:t>
            </w:r>
            <w:r w:rsidRPr="006F2C02">
              <w:rPr>
                <w:sz w:val="20"/>
                <w:szCs w:val="20"/>
              </w:rPr>
              <w:t>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462E" w:rsidRPr="006F2C02" w:rsidRDefault="0044462E" w:rsidP="0044462E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  <w:lang w:val="kk-KZ"/>
              </w:rPr>
              <w:t>13</w:t>
            </w:r>
            <w:r w:rsidRPr="006F2C02">
              <w:rPr>
                <w:sz w:val="20"/>
                <w:szCs w:val="20"/>
              </w:rPr>
              <w:t xml:space="preserve"> 644 000,00</w:t>
            </w:r>
          </w:p>
        </w:tc>
      </w:tr>
      <w:tr w:rsidR="001C7541" w:rsidRPr="00C063CD" w:rsidTr="001C7541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F2C0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541" w:rsidRPr="005F29B8" w:rsidRDefault="0080743E" w:rsidP="005F29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алынған </w:t>
            </w:r>
            <w:r w:rsidR="005F2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қаннан ДНҚ бөлуге арналған жиынтық </w:t>
            </w:r>
            <w:r w:rsidR="001C7541" w:rsidRPr="006F2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(100 </w:t>
            </w:r>
            <w:r w:rsidR="005F2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анықт.</w:t>
            </w:r>
            <w:r w:rsidR="001C7541" w:rsidRPr="006F2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541" w:rsidRPr="001C7541" w:rsidRDefault="001C7541">
            <w:pPr>
              <w:rPr>
                <w:rFonts w:ascii="Times New Roman" w:hAnsi="Times New Roman" w:cs="Times New Roman"/>
              </w:rPr>
            </w:pPr>
            <w:r w:rsidRPr="001C75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rPr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33 800,00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6F2C02">
              <w:rPr>
                <w:sz w:val="20"/>
                <w:szCs w:val="20"/>
                <w:lang w:val="kk-KZ"/>
              </w:rPr>
              <w:t>67 600,00</w:t>
            </w:r>
          </w:p>
        </w:tc>
      </w:tr>
      <w:tr w:rsidR="001C7541" w:rsidRPr="00C063CD" w:rsidTr="001C7541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6F2C02">
              <w:rPr>
                <w:sz w:val="20"/>
                <w:szCs w:val="20"/>
              </w:rPr>
              <w:t>11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541" w:rsidRPr="005F29B8" w:rsidRDefault="001C7541" w:rsidP="005F29B8">
            <w:pPr>
              <w:pStyle w:val="a7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 w:rsidRPr="005F29B8">
              <w:rPr>
                <w:sz w:val="20"/>
                <w:szCs w:val="20"/>
                <w:lang w:val="kk-KZ"/>
              </w:rPr>
              <w:t>На</w:t>
            </w:r>
            <w:r w:rsidR="005F29B8">
              <w:rPr>
                <w:sz w:val="20"/>
                <w:szCs w:val="20"/>
                <w:lang w:val="kk-KZ"/>
              </w:rPr>
              <w:t>қты уақыт режимінде ПТР әдісімен АИТВ провирустық ДНҚ сапалы анықтауға арналған</w:t>
            </w:r>
            <w:r w:rsidRPr="005F29B8">
              <w:rPr>
                <w:sz w:val="20"/>
                <w:szCs w:val="20"/>
                <w:lang w:val="kk-KZ"/>
              </w:rPr>
              <w:t xml:space="preserve"> реагент</w:t>
            </w:r>
            <w:r w:rsidR="005F29B8">
              <w:rPr>
                <w:sz w:val="20"/>
                <w:szCs w:val="20"/>
                <w:lang w:val="kk-KZ"/>
              </w:rPr>
              <w:t xml:space="preserve">тер </w:t>
            </w:r>
            <w:r w:rsidRPr="005F29B8">
              <w:rPr>
                <w:sz w:val="20"/>
                <w:szCs w:val="20"/>
                <w:lang w:val="kk-KZ"/>
              </w:rPr>
              <w:t>100 тест</w:t>
            </w:r>
            <w:r w:rsidR="005F29B8">
              <w:rPr>
                <w:sz w:val="20"/>
                <w:szCs w:val="20"/>
                <w:lang w:val="kk-KZ"/>
              </w:rPr>
              <w:t>ке</w:t>
            </w:r>
            <w:r w:rsidRPr="005F29B8">
              <w:rPr>
                <w:sz w:val="20"/>
                <w:szCs w:val="20"/>
                <w:lang w:val="kk-KZ"/>
              </w:rPr>
              <w:t xml:space="preserve">/ </w:t>
            </w:r>
            <w:r w:rsidR="005F29B8">
              <w:rPr>
                <w:sz w:val="20"/>
                <w:szCs w:val="20"/>
                <w:lang w:val="kk-KZ"/>
              </w:rPr>
              <w:t>анықтамаға</w:t>
            </w:r>
            <w:r w:rsidRPr="005F29B8">
              <w:rPr>
                <w:sz w:val="20"/>
                <w:szCs w:val="20"/>
                <w:lang w:val="kk-KZ"/>
              </w:rPr>
              <w:t xml:space="preserve"> </w:t>
            </w:r>
            <w:r w:rsidRPr="005F29B8">
              <w:rPr>
                <w:b/>
                <w:bCs/>
                <w:sz w:val="20"/>
                <w:szCs w:val="20"/>
                <w:lang w:val="kk-KZ"/>
              </w:rPr>
              <w:t>(</w:t>
            </w:r>
            <w:r w:rsidR="005F29B8">
              <w:rPr>
                <w:b/>
                <w:bCs/>
                <w:sz w:val="20"/>
                <w:szCs w:val="20"/>
                <w:lang w:val="kk-KZ"/>
              </w:rPr>
              <w:t>сапалы</w:t>
            </w:r>
            <w:r w:rsidRPr="005F29B8">
              <w:rPr>
                <w:b/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541" w:rsidRPr="001C7541" w:rsidRDefault="001C7541">
            <w:pPr>
              <w:rPr>
                <w:rFonts w:ascii="Times New Roman" w:hAnsi="Times New Roman" w:cs="Times New Roman"/>
              </w:rPr>
            </w:pPr>
            <w:r w:rsidRPr="001C75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жиынтық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379 000,00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6F2C02">
              <w:rPr>
                <w:sz w:val="20"/>
                <w:szCs w:val="20"/>
                <w:lang w:val="kk-KZ"/>
              </w:rPr>
              <w:t>758 000</w:t>
            </w:r>
            <w:r w:rsidRPr="006F2C02">
              <w:rPr>
                <w:sz w:val="20"/>
                <w:szCs w:val="20"/>
              </w:rPr>
              <w:t>,00</w:t>
            </w:r>
          </w:p>
        </w:tc>
      </w:tr>
      <w:tr w:rsidR="001C7541" w:rsidRPr="00C063CD" w:rsidTr="001C7541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6F2C02">
              <w:rPr>
                <w:sz w:val="20"/>
                <w:szCs w:val="20"/>
              </w:rPr>
              <w:t>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541" w:rsidRPr="00502D62" w:rsidRDefault="00502D62" w:rsidP="00502D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02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Тропизмді және АИТВ-ның антиретровирустық препараттарға дәрілік төзімділігінің мутацияларын ПТР әдісімен </w:t>
            </w:r>
            <w:r w:rsidRPr="00502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анықтауға арналған жи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</w:t>
            </w:r>
            <w:r w:rsidRPr="00502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кейіннен</w:t>
            </w:r>
            <w:r w:rsidRPr="00502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секвенирлеу</w:t>
            </w:r>
            <w:r w:rsidRPr="00502D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(протеаза/ревертаза гендері),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7541" w:rsidRPr="001C7541" w:rsidRDefault="001C7541">
            <w:pPr>
              <w:rPr>
                <w:rFonts w:ascii="Times New Roman" w:hAnsi="Times New Roman" w:cs="Times New Roman"/>
              </w:rPr>
            </w:pPr>
            <w:r w:rsidRPr="001C75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жиынтық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rPr>
                <w:sz w:val="20"/>
                <w:szCs w:val="20"/>
              </w:rPr>
            </w:pPr>
            <w:r w:rsidRPr="006F2C02">
              <w:rPr>
                <w:sz w:val="20"/>
                <w:szCs w:val="20"/>
              </w:rPr>
              <w:t>3 968 000,00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541" w:rsidRPr="006F2C02" w:rsidRDefault="001C7541" w:rsidP="0044462E">
            <w:pPr>
              <w:pStyle w:val="a7"/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6F2C02">
              <w:rPr>
                <w:sz w:val="20"/>
                <w:szCs w:val="20"/>
              </w:rPr>
              <w:t>23 808 000,00</w:t>
            </w:r>
          </w:p>
        </w:tc>
      </w:tr>
      <w:tr w:rsidR="00E6500C" w:rsidRPr="00C063CD" w:rsidTr="001C7541">
        <w:trPr>
          <w:trHeight w:val="2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500C" w:rsidRPr="00C063CD" w:rsidRDefault="00E6500C" w:rsidP="001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500C" w:rsidRPr="00C063CD" w:rsidRDefault="00E6500C" w:rsidP="0010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500C" w:rsidRPr="00C063CD" w:rsidRDefault="00E6500C" w:rsidP="001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500C" w:rsidRPr="00C063CD" w:rsidRDefault="00E6500C" w:rsidP="001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500C" w:rsidRPr="00C063CD" w:rsidRDefault="00E6500C" w:rsidP="0010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6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500C" w:rsidRPr="00520AC3" w:rsidRDefault="006F2C02" w:rsidP="00FC5A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5B2B">
              <w:rPr>
                <w:rFonts w:ascii="Times New Roman" w:hAnsi="Times New Roman" w:cs="Times New Roman"/>
                <w:b/>
                <w:bCs/>
                <w:lang w:eastAsia="ru-RU"/>
              </w:rPr>
              <w:t>46 544 636</w:t>
            </w:r>
          </w:p>
        </w:tc>
      </w:tr>
    </w:tbl>
    <w:p w:rsidR="00F93992" w:rsidRDefault="00F93992" w:rsidP="00E54EB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4A38" w:rsidRPr="00A74A38" w:rsidRDefault="00E54EB1" w:rsidP="00A74A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x-none"/>
        </w:rPr>
      </w:pPr>
      <w:r w:rsidRPr="006F2C02">
        <w:rPr>
          <w:rFonts w:ascii="Times New Roman" w:eastAsia="Times New Roman" w:hAnsi="Times New Roman" w:cs="Times New Roman"/>
          <w:lang w:eastAsia="x-none"/>
        </w:rPr>
        <w:t xml:space="preserve">          3.  </w:t>
      </w:r>
      <w:r w:rsidR="009546DB">
        <w:rPr>
          <w:rFonts w:ascii="Times New Roman" w:eastAsia="Times New Roman" w:hAnsi="Times New Roman" w:cs="Times New Roman"/>
          <w:lang w:val="kk-KZ" w:eastAsia="x-none"/>
        </w:rPr>
        <w:t>Т</w:t>
      </w:r>
      <w:proofErr w:type="spellStart"/>
      <w:r w:rsidR="009546DB" w:rsidRPr="00A74A38">
        <w:rPr>
          <w:rFonts w:ascii="Times New Roman" w:eastAsia="Times New Roman" w:hAnsi="Times New Roman" w:cs="Times New Roman"/>
          <w:lang w:eastAsia="x-none"/>
        </w:rPr>
        <w:t>апсырыс</w:t>
      </w:r>
      <w:proofErr w:type="spellEnd"/>
      <w:r w:rsidR="009546DB"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9546DB" w:rsidRPr="00A74A38">
        <w:rPr>
          <w:rFonts w:ascii="Times New Roman" w:eastAsia="Times New Roman" w:hAnsi="Times New Roman" w:cs="Times New Roman"/>
          <w:lang w:eastAsia="x-none"/>
        </w:rPr>
        <w:t>беруші</w:t>
      </w:r>
      <w:proofErr w:type="spellEnd"/>
      <w:r w:rsidR="009546DB">
        <w:rPr>
          <w:rFonts w:ascii="Times New Roman" w:eastAsia="Times New Roman" w:hAnsi="Times New Roman" w:cs="Times New Roman"/>
          <w:lang w:val="kk-KZ" w:eastAsia="x-none"/>
        </w:rPr>
        <w:t xml:space="preserve"> -</w:t>
      </w:r>
      <w:r w:rsidR="009546D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74A38">
        <w:rPr>
          <w:rFonts w:ascii="Times New Roman" w:eastAsia="Times New Roman" w:hAnsi="Times New Roman" w:cs="Times New Roman"/>
          <w:lang w:eastAsia="x-none"/>
        </w:rPr>
        <w:t>ҚР ДСМ "</w:t>
      </w:r>
      <w:proofErr w:type="spellStart"/>
      <w:r w:rsidR="00A74A38">
        <w:rPr>
          <w:rFonts w:ascii="Times New Roman" w:eastAsia="Times New Roman" w:hAnsi="Times New Roman" w:cs="Times New Roman"/>
          <w:lang w:eastAsia="x-none"/>
        </w:rPr>
        <w:t>Қазақ</w:t>
      </w:r>
      <w:proofErr w:type="spellEnd"/>
      <w:r w:rsidR="00A74A38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74A38">
        <w:rPr>
          <w:rFonts w:ascii="Times New Roman" w:eastAsia="Times New Roman" w:hAnsi="Times New Roman" w:cs="Times New Roman"/>
          <w:lang w:val="kk-KZ" w:eastAsia="x-none"/>
        </w:rPr>
        <w:t>д</w:t>
      </w:r>
      <w:proofErr w:type="spellStart"/>
      <w:r w:rsidR="00A74A38" w:rsidRPr="00A74A38">
        <w:rPr>
          <w:rFonts w:ascii="Times New Roman" w:eastAsia="Times New Roman" w:hAnsi="Times New Roman" w:cs="Times New Roman"/>
          <w:lang w:eastAsia="x-none"/>
        </w:rPr>
        <w:t>ерматология</w:t>
      </w:r>
      <w:proofErr w:type="spellEnd"/>
      <w:r w:rsidR="00A74A38"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A74A38" w:rsidRPr="00A74A38">
        <w:rPr>
          <w:rFonts w:ascii="Times New Roman" w:eastAsia="Times New Roman" w:hAnsi="Times New Roman" w:cs="Times New Roman"/>
          <w:lang w:eastAsia="x-none"/>
        </w:rPr>
        <w:t>және</w:t>
      </w:r>
      <w:proofErr w:type="spellEnd"/>
      <w:r w:rsidR="00A74A38"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74A38">
        <w:rPr>
          <w:rFonts w:ascii="Times New Roman" w:eastAsia="Times New Roman" w:hAnsi="Times New Roman" w:cs="Times New Roman"/>
          <w:lang w:val="kk-KZ" w:eastAsia="x-none"/>
        </w:rPr>
        <w:t>инфекциялық</w:t>
      </w:r>
      <w:r w:rsidR="00A74A38"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A74A38" w:rsidRPr="00A74A38">
        <w:rPr>
          <w:rFonts w:ascii="Times New Roman" w:eastAsia="Times New Roman" w:hAnsi="Times New Roman" w:cs="Times New Roman"/>
          <w:lang w:eastAsia="x-none"/>
        </w:rPr>
        <w:t>аурулар</w:t>
      </w:r>
      <w:proofErr w:type="spellEnd"/>
      <w:r w:rsidR="00A74A38"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A74A38" w:rsidRPr="00A74A38">
        <w:rPr>
          <w:rFonts w:ascii="Times New Roman" w:eastAsia="Times New Roman" w:hAnsi="Times New Roman" w:cs="Times New Roman"/>
          <w:lang w:eastAsia="x-none"/>
        </w:rPr>
        <w:t>ғылыми</w:t>
      </w:r>
      <w:proofErr w:type="spellEnd"/>
      <w:r w:rsidR="00A74A38"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A74A38" w:rsidRPr="00A74A38">
        <w:rPr>
          <w:rFonts w:ascii="Times New Roman" w:eastAsia="Times New Roman" w:hAnsi="Times New Roman" w:cs="Times New Roman"/>
          <w:lang w:eastAsia="x-none"/>
        </w:rPr>
        <w:t>орталығы</w:t>
      </w:r>
      <w:proofErr w:type="spellEnd"/>
      <w:r w:rsidR="00A74A38" w:rsidRPr="00A74A38">
        <w:rPr>
          <w:rFonts w:ascii="Times New Roman" w:eastAsia="Times New Roman" w:hAnsi="Times New Roman" w:cs="Times New Roman"/>
          <w:lang w:eastAsia="x-none"/>
        </w:rPr>
        <w:t xml:space="preserve">" ШЖҚ РМК: </w:t>
      </w:r>
    </w:p>
    <w:p w:rsidR="00A74A38" w:rsidRPr="00A74A38" w:rsidRDefault="00A74A38" w:rsidP="00A74A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x-none"/>
        </w:rPr>
      </w:pPr>
      <w:r w:rsidRPr="00A74A38">
        <w:rPr>
          <w:rFonts w:ascii="Times New Roman" w:eastAsia="Times New Roman" w:hAnsi="Times New Roman" w:cs="Times New Roman"/>
          <w:lang w:eastAsia="x-none"/>
        </w:rPr>
        <w:t xml:space="preserve">- №1,16,18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лоттар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бойынша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"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Виватест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" ЖШС-мен (Алматы қ.,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Қарғалы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proofErr w:type="gramStart"/>
      <w:r w:rsidRPr="00A74A38">
        <w:rPr>
          <w:rFonts w:ascii="Times New Roman" w:eastAsia="Times New Roman" w:hAnsi="Times New Roman" w:cs="Times New Roman"/>
          <w:lang w:eastAsia="x-none"/>
        </w:rPr>
        <w:t>шағынауданы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,</w:t>
      </w:r>
      <w:proofErr w:type="gramEnd"/>
      <w:r w:rsidRPr="00A74A38">
        <w:rPr>
          <w:rFonts w:ascii="Times New Roman" w:eastAsia="Times New Roman" w:hAnsi="Times New Roman" w:cs="Times New Roman"/>
          <w:lang w:eastAsia="x-none"/>
        </w:rPr>
        <w:t xml:space="preserve"> К</w:t>
      </w:r>
      <w:r w:rsidR="009546DB">
        <w:rPr>
          <w:rFonts w:ascii="Times New Roman" w:eastAsia="Times New Roman" w:hAnsi="Times New Roman" w:cs="Times New Roman"/>
          <w:lang w:val="kk-KZ" w:eastAsia="x-none"/>
        </w:rPr>
        <w:t xml:space="preserve">еңесары хан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көшесі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, 54/45)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шарт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жасасу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, БСН: 210140025765.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Шарттың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жалпы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сомасы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8 267 036 (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сегіз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миллион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екі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жүз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алпыс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жеті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мың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отыз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алты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)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теңге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, 00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тиынды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құрайды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>.</w:t>
      </w:r>
    </w:p>
    <w:p w:rsidR="00A74A38" w:rsidRPr="009546DB" w:rsidRDefault="00A74A38" w:rsidP="00A74A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val="kk-KZ" w:eastAsia="x-none"/>
        </w:rPr>
      </w:pPr>
      <w:r w:rsidRPr="00A74A38">
        <w:rPr>
          <w:rFonts w:ascii="Times New Roman" w:eastAsia="Times New Roman" w:hAnsi="Times New Roman" w:cs="Times New Roman"/>
          <w:lang w:eastAsia="x-none"/>
        </w:rPr>
        <w:t xml:space="preserve">- №7,12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лоттар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бойынша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"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Витена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" ЖШС-мен (Алматы қ., Исаев </w:t>
      </w:r>
      <w:proofErr w:type="spellStart"/>
      <w:r w:rsidRPr="00A74A38">
        <w:rPr>
          <w:rFonts w:ascii="Times New Roman" w:eastAsia="Times New Roman" w:hAnsi="Times New Roman" w:cs="Times New Roman"/>
          <w:lang w:eastAsia="x-none"/>
        </w:rPr>
        <w:t>көшесі</w:t>
      </w:r>
      <w:proofErr w:type="spellEnd"/>
      <w:r w:rsidRPr="00A74A38">
        <w:rPr>
          <w:rFonts w:ascii="Times New Roman" w:eastAsia="Times New Roman" w:hAnsi="Times New Roman" w:cs="Times New Roman"/>
          <w:lang w:eastAsia="x-none"/>
        </w:rPr>
        <w:t xml:space="preserve"> 159)</w:t>
      </w:r>
      <w:r w:rsidR="009546DB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proofErr w:type="spellStart"/>
      <w:r w:rsidR="009546DB" w:rsidRPr="00A74A38">
        <w:rPr>
          <w:rFonts w:ascii="Times New Roman" w:eastAsia="Times New Roman" w:hAnsi="Times New Roman" w:cs="Times New Roman"/>
          <w:lang w:eastAsia="x-none"/>
        </w:rPr>
        <w:t>шарт</w:t>
      </w:r>
      <w:proofErr w:type="spellEnd"/>
      <w:r w:rsidR="009546DB" w:rsidRPr="00A74A38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9546DB" w:rsidRPr="00A74A38">
        <w:rPr>
          <w:rFonts w:ascii="Times New Roman" w:eastAsia="Times New Roman" w:hAnsi="Times New Roman" w:cs="Times New Roman"/>
          <w:lang w:eastAsia="x-none"/>
        </w:rPr>
        <w:t>жасас</w:t>
      </w:r>
      <w:proofErr w:type="spellEnd"/>
      <w:r w:rsidR="009546DB">
        <w:rPr>
          <w:rFonts w:ascii="Times New Roman" w:eastAsia="Times New Roman" w:hAnsi="Times New Roman" w:cs="Times New Roman"/>
          <w:lang w:val="kk-KZ" w:eastAsia="x-none"/>
        </w:rPr>
        <w:t>у</w:t>
      </w:r>
      <w:r w:rsidRPr="00A74A38">
        <w:rPr>
          <w:rFonts w:ascii="Times New Roman" w:eastAsia="Times New Roman" w:hAnsi="Times New Roman" w:cs="Times New Roman"/>
          <w:lang w:eastAsia="x-none"/>
        </w:rPr>
        <w:t>, БСН 080340019868.</w:t>
      </w:r>
      <w:r w:rsidR="009546DB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 w:rsidRPr="009546DB">
        <w:rPr>
          <w:rFonts w:ascii="Times New Roman" w:eastAsia="Times New Roman" w:hAnsi="Times New Roman" w:cs="Times New Roman"/>
          <w:lang w:val="kk-KZ" w:eastAsia="x-none"/>
        </w:rPr>
        <w:t>Шарттың жалпы сомасы 13 711 600 (он үш миллион жеті</w:t>
      </w:r>
      <w:r w:rsidR="009546DB">
        <w:rPr>
          <w:rFonts w:ascii="Times New Roman" w:eastAsia="Times New Roman" w:hAnsi="Times New Roman" w:cs="Times New Roman"/>
          <w:lang w:val="kk-KZ" w:eastAsia="x-none"/>
        </w:rPr>
        <w:t xml:space="preserve"> жүз он бір мың алты жүз) теңге</w:t>
      </w:r>
      <w:r w:rsidRPr="009546DB">
        <w:rPr>
          <w:rFonts w:ascii="Times New Roman" w:eastAsia="Times New Roman" w:hAnsi="Times New Roman" w:cs="Times New Roman"/>
          <w:lang w:val="kk-KZ" w:eastAsia="x-none"/>
        </w:rPr>
        <w:t>, 00 тиынды құрайды.</w:t>
      </w:r>
    </w:p>
    <w:p w:rsidR="00A74A38" w:rsidRPr="009546DB" w:rsidRDefault="00A74A38" w:rsidP="00A74A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val="kk-KZ" w:eastAsia="x-none"/>
        </w:rPr>
      </w:pPr>
      <w:r w:rsidRPr="009546DB">
        <w:rPr>
          <w:rFonts w:ascii="Times New Roman" w:eastAsia="Times New Roman" w:hAnsi="Times New Roman" w:cs="Times New Roman"/>
          <w:lang w:val="kk-KZ" w:eastAsia="x-none"/>
        </w:rPr>
        <w:t xml:space="preserve"> - №5,11 лоттар бойынша "Imbian Trade" ЖШС-мен </w:t>
      </w:r>
      <w:r w:rsidR="009546DB">
        <w:rPr>
          <w:rFonts w:ascii="Times New Roman" w:eastAsia="Times New Roman" w:hAnsi="Times New Roman" w:cs="Times New Roman"/>
          <w:lang w:val="kk-KZ" w:eastAsia="x-none"/>
        </w:rPr>
        <w:t xml:space="preserve">(Алматы қ., Сүйінбай даңғылы, </w:t>
      </w:r>
      <w:r w:rsidRPr="009546DB">
        <w:rPr>
          <w:rFonts w:ascii="Times New Roman" w:eastAsia="Times New Roman" w:hAnsi="Times New Roman" w:cs="Times New Roman"/>
          <w:lang w:val="kk-KZ" w:eastAsia="x-none"/>
        </w:rPr>
        <w:t>55</w:t>
      </w:r>
      <w:r w:rsidR="009546DB">
        <w:rPr>
          <w:rFonts w:ascii="Times New Roman" w:eastAsia="Times New Roman" w:hAnsi="Times New Roman" w:cs="Times New Roman"/>
          <w:lang w:val="kk-KZ" w:eastAsia="x-none"/>
        </w:rPr>
        <w:t>-үй</w:t>
      </w:r>
      <w:r w:rsidRPr="009546DB">
        <w:rPr>
          <w:rFonts w:ascii="Times New Roman" w:eastAsia="Times New Roman" w:hAnsi="Times New Roman" w:cs="Times New Roman"/>
          <w:lang w:val="kk-KZ" w:eastAsia="x-none"/>
        </w:rPr>
        <w:t>)</w:t>
      </w:r>
      <w:r w:rsidR="009546DB" w:rsidRPr="009546DB">
        <w:rPr>
          <w:rFonts w:ascii="Times New Roman" w:eastAsia="Times New Roman" w:hAnsi="Times New Roman" w:cs="Times New Roman"/>
          <w:lang w:val="kk-KZ" w:eastAsia="x-none"/>
        </w:rPr>
        <w:t xml:space="preserve"> шарт жасасу</w:t>
      </w:r>
      <w:r w:rsidR="009546DB">
        <w:rPr>
          <w:rFonts w:ascii="Times New Roman" w:eastAsia="Times New Roman" w:hAnsi="Times New Roman" w:cs="Times New Roman"/>
          <w:lang w:val="kk-KZ" w:eastAsia="x-none"/>
        </w:rPr>
        <w:t xml:space="preserve">, </w:t>
      </w:r>
      <w:r w:rsidRPr="009546DB">
        <w:rPr>
          <w:rFonts w:ascii="Times New Roman" w:eastAsia="Times New Roman" w:hAnsi="Times New Roman" w:cs="Times New Roman"/>
          <w:lang w:val="kk-KZ" w:eastAsia="x-none"/>
        </w:rPr>
        <w:t>БСН221140052192</w:t>
      </w:r>
      <w:r w:rsidR="009546DB">
        <w:rPr>
          <w:rFonts w:ascii="Times New Roman" w:eastAsia="Times New Roman" w:hAnsi="Times New Roman" w:cs="Times New Roman"/>
          <w:lang w:val="kk-KZ" w:eastAsia="x-none"/>
        </w:rPr>
        <w:t>. Ш</w:t>
      </w:r>
      <w:r w:rsidRPr="009546DB">
        <w:rPr>
          <w:rFonts w:ascii="Times New Roman" w:eastAsia="Times New Roman" w:hAnsi="Times New Roman" w:cs="Times New Roman"/>
          <w:lang w:val="kk-KZ" w:eastAsia="x-none"/>
        </w:rPr>
        <w:t>арттың жалпы сомасы 24 566 000 (жиырма төрт миллион бес жүз алпыс алты мың) теңге, 00 тиынды құрайды.</w:t>
      </w:r>
    </w:p>
    <w:p w:rsidR="00A74A38" w:rsidRPr="009546DB" w:rsidRDefault="00A74A38" w:rsidP="00A74A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val="kk-KZ" w:eastAsia="x-none"/>
        </w:rPr>
      </w:pPr>
    </w:p>
    <w:p w:rsidR="00A74A38" w:rsidRPr="009546DB" w:rsidRDefault="00A74A38" w:rsidP="00A74A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val="kk-KZ" w:eastAsia="x-none"/>
        </w:rPr>
      </w:pPr>
    </w:p>
    <w:p w:rsidR="00A74A38" w:rsidRPr="009546DB" w:rsidRDefault="00A74A38" w:rsidP="00A74A3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val="kk-KZ" w:eastAsia="x-none"/>
        </w:rPr>
      </w:pPr>
    </w:p>
    <w:p w:rsidR="00CC7C8F" w:rsidRPr="007B782B" w:rsidRDefault="00CC7C8F" w:rsidP="0060219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lang w:val="kk-KZ" w:eastAsia="x-none"/>
        </w:rPr>
      </w:pPr>
      <w:r w:rsidRPr="009546DB">
        <w:rPr>
          <w:rFonts w:ascii="Times New Roman" w:eastAsia="Times New Roman" w:hAnsi="Times New Roman" w:cs="Times New Roman"/>
          <w:b/>
          <w:lang w:val="kk-KZ" w:eastAsia="x-none"/>
        </w:rPr>
        <w:t xml:space="preserve">      </w:t>
      </w:r>
      <w:r w:rsidR="00990979" w:rsidRPr="009546DB">
        <w:rPr>
          <w:rFonts w:ascii="Times New Roman" w:eastAsia="Times New Roman" w:hAnsi="Times New Roman" w:cs="Times New Roman"/>
          <w:b/>
          <w:lang w:val="kk-KZ" w:eastAsia="x-none"/>
        </w:rPr>
        <w:t xml:space="preserve">   </w:t>
      </w:r>
      <w:r w:rsidR="00A74A38" w:rsidRPr="009546DB">
        <w:rPr>
          <w:rFonts w:ascii="Times New Roman" w:eastAsia="Times New Roman" w:hAnsi="Times New Roman" w:cs="Times New Roman"/>
          <w:b/>
          <w:lang w:val="kk-KZ" w:eastAsia="x-none"/>
        </w:rPr>
        <w:t>Мемлекеттік сатып алудың уәкілетті өкілі</w:t>
      </w:r>
      <w:r w:rsidRPr="00746E6C">
        <w:rPr>
          <w:rFonts w:ascii="Times New Roman" w:eastAsia="Times New Roman" w:hAnsi="Times New Roman" w:cs="Times New Roman"/>
          <w:b/>
          <w:lang w:val="x-none" w:eastAsia="x-none"/>
        </w:rPr>
        <w:t>:</w:t>
      </w:r>
    </w:p>
    <w:p w:rsidR="00CC7C8F" w:rsidRPr="009546DB" w:rsidRDefault="00CC7C8F" w:rsidP="00CC7C8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kk-KZ" w:eastAsia="x-none"/>
        </w:rPr>
      </w:pPr>
    </w:p>
    <w:p w:rsidR="00CC7C8F" w:rsidRPr="009546DB" w:rsidRDefault="00CC7C8F" w:rsidP="0095150D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kk-KZ" w:eastAsia="x-none"/>
        </w:rPr>
      </w:pPr>
    </w:p>
    <w:p w:rsidR="008C6613" w:rsidRPr="00A16BD3" w:rsidRDefault="00A16BD3" w:rsidP="002D0D45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9546DB">
        <w:rPr>
          <w:rFonts w:ascii="Times New Roman" w:eastAsia="Times New Roman" w:hAnsi="Times New Roman" w:cs="Times New Roman"/>
          <w:b/>
          <w:lang w:val="kk-KZ" w:eastAsia="x-none"/>
        </w:rPr>
        <w:t xml:space="preserve">          </w:t>
      </w:r>
      <w:r w:rsidR="00A74A38">
        <w:rPr>
          <w:rFonts w:ascii="Times New Roman" w:eastAsia="Times New Roman" w:hAnsi="Times New Roman" w:cs="Times New Roman"/>
          <w:b/>
          <w:lang w:val="kk-KZ" w:eastAsia="x-none"/>
        </w:rPr>
        <w:t>МСА жөніндегі маман</w:t>
      </w:r>
      <w:r>
        <w:rPr>
          <w:rFonts w:ascii="Times New Roman" w:eastAsia="Times New Roman" w:hAnsi="Times New Roman" w:cs="Times New Roman"/>
          <w:b/>
          <w:lang w:val="kk-KZ" w:eastAsia="x-none"/>
        </w:rPr>
        <w:t xml:space="preserve">             ________________     </w:t>
      </w:r>
      <w:r w:rsidR="006F2C02">
        <w:rPr>
          <w:rFonts w:ascii="Times New Roman" w:eastAsia="Times New Roman" w:hAnsi="Times New Roman" w:cs="Times New Roman"/>
          <w:b/>
          <w:lang w:val="kk-KZ" w:eastAsia="x-none"/>
        </w:rPr>
        <w:t>А.А.</w:t>
      </w:r>
      <w:r w:rsidR="00A74A38" w:rsidRPr="00A74A38">
        <w:rPr>
          <w:rFonts w:ascii="Times New Roman" w:eastAsia="Times New Roman" w:hAnsi="Times New Roman" w:cs="Times New Roman"/>
          <w:b/>
          <w:lang w:val="kk-KZ" w:eastAsia="x-none"/>
        </w:rPr>
        <w:t xml:space="preserve"> </w:t>
      </w:r>
      <w:r w:rsidR="00A74A38">
        <w:rPr>
          <w:rFonts w:ascii="Times New Roman" w:eastAsia="Times New Roman" w:hAnsi="Times New Roman" w:cs="Times New Roman"/>
          <w:b/>
          <w:lang w:val="kk-KZ" w:eastAsia="x-none"/>
        </w:rPr>
        <w:t>Джанпеишева</w:t>
      </w:r>
    </w:p>
    <w:sectPr w:rsidR="008C6613" w:rsidRPr="00A16BD3" w:rsidSect="003945D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98F"/>
    <w:multiLevelType w:val="hybridMultilevel"/>
    <w:tmpl w:val="2AC2C64C"/>
    <w:lvl w:ilvl="0" w:tplc="689CC6BC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9909F5"/>
    <w:multiLevelType w:val="hybridMultilevel"/>
    <w:tmpl w:val="284423B6"/>
    <w:lvl w:ilvl="0" w:tplc="5F468794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12E31"/>
    <w:multiLevelType w:val="hybridMultilevel"/>
    <w:tmpl w:val="032C27FC"/>
    <w:lvl w:ilvl="0" w:tplc="689CC6BC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81024"/>
    <w:multiLevelType w:val="hybridMultilevel"/>
    <w:tmpl w:val="0018F7D4"/>
    <w:lvl w:ilvl="0" w:tplc="F93C1EC6">
      <w:start w:val="67"/>
      <w:numFmt w:val="bullet"/>
      <w:lvlText w:val="-"/>
      <w:lvlJc w:val="left"/>
      <w:pPr>
        <w:ind w:left="27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4" w15:restartNumberingAfterBreak="0">
    <w:nsid w:val="1CEA72E3"/>
    <w:multiLevelType w:val="hybridMultilevel"/>
    <w:tmpl w:val="284423B6"/>
    <w:lvl w:ilvl="0" w:tplc="5F468794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067A8F"/>
    <w:multiLevelType w:val="hybridMultilevel"/>
    <w:tmpl w:val="A8C07C6E"/>
    <w:lvl w:ilvl="0" w:tplc="F8CAE45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006A"/>
    <w:multiLevelType w:val="hybridMultilevel"/>
    <w:tmpl w:val="8C76F44C"/>
    <w:lvl w:ilvl="0" w:tplc="071E86B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3C07F9"/>
    <w:multiLevelType w:val="hybridMultilevel"/>
    <w:tmpl w:val="351E2F52"/>
    <w:lvl w:ilvl="0" w:tplc="DB3C0C90">
      <w:start w:val="23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CDF7C22"/>
    <w:multiLevelType w:val="hybridMultilevel"/>
    <w:tmpl w:val="616003A8"/>
    <w:lvl w:ilvl="0" w:tplc="DD44F5AC">
      <w:start w:val="6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54D8"/>
    <w:multiLevelType w:val="hybridMultilevel"/>
    <w:tmpl w:val="7B42F888"/>
    <w:lvl w:ilvl="0" w:tplc="518847E4">
      <w:start w:val="2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1917F14"/>
    <w:multiLevelType w:val="hybridMultilevel"/>
    <w:tmpl w:val="3D94BD2A"/>
    <w:lvl w:ilvl="0" w:tplc="1EEE0CB0">
      <w:start w:val="4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1" w15:restartNumberingAfterBreak="0">
    <w:nsid w:val="648D526A"/>
    <w:multiLevelType w:val="hybridMultilevel"/>
    <w:tmpl w:val="284423B6"/>
    <w:lvl w:ilvl="0" w:tplc="5F468794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DB606B"/>
    <w:multiLevelType w:val="hybridMultilevel"/>
    <w:tmpl w:val="284423B6"/>
    <w:lvl w:ilvl="0" w:tplc="5F468794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B3721A"/>
    <w:multiLevelType w:val="hybridMultilevel"/>
    <w:tmpl w:val="284423B6"/>
    <w:lvl w:ilvl="0" w:tplc="5F468794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86124C"/>
    <w:multiLevelType w:val="hybridMultilevel"/>
    <w:tmpl w:val="EFE4C49E"/>
    <w:lvl w:ilvl="0" w:tplc="689CC6BC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14F52"/>
    <w:rsid w:val="00037615"/>
    <w:rsid w:val="00040112"/>
    <w:rsid w:val="00043424"/>
    <w:rsid w:val="00056EE7"/>
    <w:rsid w:val="00074CF5"/>
    <w:rsid w:val="000A28A1"/>
    <w:rsid w:val="000A4884"/>
    <w:rsid w:val="000C5ACB"/>
    <w:rsid w:val="000D223D"/>
    <w:rsid w:val="000E0BE1"/>
    <w:rsid w:val="000E1047"/>
    <w:rsid w:val="000E373C"/>
    <w:rsid w:val="000E58E3"/>
    <w:rsid w:val="001040C3"/>
    <w:rsid w:val="00104C16"/>
    <w:rsid w:val="0010766E"/>
    <w:rsid w:val="00107D8B"/>
    <w:rsid w:val="001108F5"/>
    <w:rsid w:val="001231AA"/>
    <w:rsid w:val="00132657"/>
    <w:rsid w:val="00133669"/>
    <w:rsid w:val="001362EC"/>
    <w:rsid w:val="001432B1"/>
    <w:rsid w:val="001662BF"/>
    <w:rsid w:val="00186240"/>
    <w:rsid w:val="001B6C75"/>
    <w:rsid w:val="001C50E5"/>
    <w:rsid w:val="001C7541"/>
    <w:rsid w:val="00201797"/>
    <w:rsid w:val="00205353"/>
    <w:rsid w:val="00212F92"/>
    <w:rsid w:val="0021500F"/>
    <w:rsid w:val="00215F48"/>
    <w:rsid w:val="00237AC4"/>
    <w:rsid w:val="00257A5C"/>
    <w:rsid w:val="00260DA3"/>
    <w:rsid w:val="0026377F"/>
    <w:rsid w:val="002660FA"/>
    <w:rsid w:val="00270663"/>
    <w:rsid w:val="00281975"/>
    <w:rsid w:val="00287716"/>
    <w:rsid w:val="002D0D45"/>
    <w:rsid w:val="002D596A"/>
    <w:rsid w:val="002E03EF"/>
    <w:rsid w:val="002E41DD"/>
    <w:rsid w:val="002E66F0"/>
    <w:rsid w:val="003005A7"/>
    <w:rsid w:val="00330026"/>
    <w:rsid w:val="00346B25"/>
    <w:rsid w:val="00367C0A"/>
    <w:rsid w:val="00383794"/>
    <w:rsid w:val="00392C27"/>
    <w:rsid w:val="00393838"/>
    <w:rsid w:val="003945DF"/>
    <w:rsid w:val="00395B2B"/>
    <w:rsid w:val="003B10E4"/>
    <w:rsid w:val="003B243B"/>
    <w:rsid w:val="003B5139"/>
    <w:rsid w:val="003B7203"/>
    <w:rsid w:val="003C734E"/>
    <w:rsid w:val="003C77D8"/>
    <w:rsid w:val="003D308A"/>
    <w:rsid w:val="003E53C4"/>
    <w:rsid w:val="00425664"/>
    <w:rsid w:val="00426D3B"/>
    <w:rsid w:val="004304FB"/>
    <w:rsid w:val="0044462E"/>
    <w:rsid w:val="004558E9"/>
    <w:rsid w:val="00477D36"/>
    <w:rsid w:val="004A39F8"/>
    <w:rsid w:val="004A58CC"/>
    <w:rsid w:val="004B7D4F"/>
    <w:rsid w:val="004E20AB"/>
    <w:rsid w:val="004E2F2C"/>
    <w:rsid w:val="004F11B9"/>
    <w:rsid w:val="004F463F"/>
    <w:rsid w:val="004F709F"/>
    <w:rsid w:val="00500ADD"/>
    <w:rsid w:val="00502D62"/>
    <w:rsid w:val="00520AC3"/>
    <w:rsid w:val="00533D00"/>
    <w:rsid w:val="00537C2C"/>
    <w:rsid w:val="00563691"/>
    <w:rsid w:val="005915DF"/>
    <w:rsid w:val="005A198E"/>
    <w:rsid w:val="005A6335"/>
    <w:rsid w:val="005C3FDA"/>
    <w:rsid w:val="005C41F6"/>
    <w:rsid w:val="005C5738"/>
    <w:rsid w:val="005E0B03"/>
    <w:rsid w:val="005F29B8"/>
    <w:rsid w:val="005F6213"/>
    <w:rsid w:val="00602197"/>
    <w:rsid w:val="0061037A"/>
    <w:rsid w:val="00612D6B"/>
    <w:rsid w:val="0061357F"/>
    <w:rsid w:val="00622F12"/>
    <w:rsid w:val="006278F6"/>
    <w:rsid w:val="00630B73"/>
    <w:rsid w:val="006345C9"/>
    <w:rsid w:val="006349C7"/>
    <w:rsid w:val="006369D5"/>
    <w:rsid w:val="00642DDD"/>
    <w:rsid w:val="006563B8"/>
    <w:rsid w:val="006600B6"/>
    <w:rsid w:val="0066489E"/>
    <w:rsid w:val="006734E1"/>
    <w:rsid w:val="0067425B"/>
    <w:rsid w:val="00692B5F"/>
    <w:rsid w:val="006954CC"/>
    <w:rsid w:val="006A2541"/>
    <w:rsid w:val="006A59BF"/>
    <w:rsid w:val="006B0E64"/>
    <w:rsid w:val="006F2C02"/>
    <w:rsid w:val="006F3A00"/>
    <w:rsid w:val="006F7431"/>
    <w:rsid w:val="00705F87"/>
    <w:rsid w:val="007156FF"/>
    <w:rsid w:val="00720874"/>
    <w:rsid w:val="00726D9E"/>
    <w:rsid w:val="007301A1"/>
    <w:rsid w:val="00736366"/>
    <w:rsid w:val="00746E6C"/>
    <w:rsid w:val="007508F7"/>
    <w:rsid w:val="0076496E"/>
    <w:rsid w:val="00774BC9"/>
    <w:rsid w:val="007924BC"/>
    <w:rsid w:val="007A0A5E"/>
    <w:rsid w:val="007A68AD"/>
    <w:rsid w:val="007B782B"/>
    <w:rsid w:val="007C1547"/>
    <w:rsid w:val="007C5341"/>
    <w:rsid w:val="007E225A"/>
    <w:rsid w:val="008059B6"/>
    <w:rsid w:val="008071CF"/>
    <w:rsid w:val="0080743E"/>
    <w:rsid w:val="00817834"/>
    <w:rsid w:val="008223EC"/>
    <w:rsid w:val="00826295"/>
    <w:rsid w:val="0082720B"/>
    <w:rsid w:val="00845C20"/>
    <w:rsid w:val="00864B06"/>
    <w:rsid w:val="00864CF1"/>
    <w:rsid w:val="0087060F"/>
    <w:rsid w:val="00891794"/>
    <w:rsid w:val="008A0D5C"/>
    <w:rsid w:val="008C2046"/>
    <w:rsid w:val="008C6613"/>
    <w:rsid w:val="008C72EE"/>
    <w:rsid w:val="008D5742"/>
    <w:rsid w:val="008E078B"/>
    <w:rsid w:val="008F0274"/>
    <w:rsid w:val="00902928"/>
    <w:rsid w:val="00906ABB"/>
    <w:rsid w:val="00906CE8"/>
    <w:rsid w:val="009078F4"/>
    <w:rsid w:val="009126AD"/>
    <w:rsid w:val="00917CA3"/>
    <w:rsid w:val="0093675D"/>
    <w:rsid w:val="0095150D"/>
    <w:rsid w:val="009546DB"/>
    <w:rsid w:val="0095788C"/>
    <w:rsid w:val="009604C0"/>
    <w:rsid w:val="00983FB4"/>
    <w:rsid w:val="00990979"/>
    <w:rsid w:val="009C3D9C"/>
    <w:rsid w:val="009C593E"/>
    <w:rsid w:val="009E04A5"/>
    <w:rsid w:val="009E0C5D"/>
    <w:rsid w:val="009E5087"/>
    <w:rsid w:val="00A02E9C"/>
    <w:rsid w:val="00A06148"/>
    <w:rsid w:val="00A0724A"/>
    <w:rsid w:val="00A16BD3"/>
    <w:rsid w:val="00A35AAD"/>
    <w:rsid w:val="00A4149B"/>
    <w:rsid w:val="00A44FDC"/>
    <w:rsid w:val="00A4600E"/>
    <w:rsid w:val="00A73B2E"/>
    <w:rsid w:val="00A74A38"/>
    <w:rsid w:val="00A916F4"/>
    <w:rsid w:val="00AC02FE"/>
    <w:rsid w:val="00AC1338"/>
    <w:rsid w:val="00AC2880"/>
    <w:rsid w:val="00AD087B"/>
    <w:rsid w:val="00AD4C38"/>
    <w:rsid w:val="00AE49F1"/>
    <w:rsid w:val="00B17CA2"/>
    <w:rsid w:val="00B37F12"/>
    <w:rsid w:val="00B72B2C"/>
    <w:rsid w:val="00B731C2"/>
    <w:rsid w:val="00B80C5F"/>
    <w:rsid w:val="00BA0D7A"/>
    <w:rsid w:val="00BD5E29"/>
    <w:rsid w:val="00BD707B"/>
    <w:rsid w:val="00BE71D0"/>
    <w:rsid w:val="00BE78EF"/>
    <w:rsid w:val="00C07A9B"/>
    <w:rsid w:val="00C40F2C"/>
    <w:rsid w:val="00C431DE"/>
    <w:rsid w:val="00C578F8"/>
    <w:rsid w:val="00C64DB4"/>
    <w:rsid w:val="00C91BB0"/>
    <w:rsid w:val="00C97ED4"/>
    <w:rsid w:val="00CB0A12"/>
    <w:rsid w:val="00CC7C8F"/>
    <w:rsid w:val="00CD259E"/>
    <w:rsid w:val="00CD4220"/>
    <w:rsid w:val="00CD4431"/>
    <w:rsid w:val="00CE0251"/>
    <w:rsid w:val="00CE471D"/>
    <w:rsid w:val="00CF6DA3"/>
    <w:rsid w:val="00D0473C"/>
    <w:rsid w:val="00D30C43"/>
    <w:rsid w:val="00D329B9"/>
    <w:rsid w:val="00D41A84"/>
    <w:rsid w:val="00D426AA"/>
    <w:rsid w:val="00D51BE4"/>
    <w:rsid w:val="00D55B73"/>
    <w:rsid w:val="00D66A0D"/>
    <w:rsid w:val="00D822AB"/>
    <w:rsid w:val="00D85028"/>
    <w:rsid w:val="00D90D3C"/>
    <w:rsid w:val="00DA3E01"/>
    <w:rsid w:val="00DA7594"/>
    <w:rsid w:val="00DC35E6"/>
    <w:rsid w:val="00DC6FFB"/>
    <w:rsid w:val="00DD1717"/>
    <w:rsid w:val="00DD6095"/>
    <w:rsid w:val="00DF0B2F"/>
    <w:rsid w:val="00DF3A60"/>
    <w:rsid w:val="00E11E37"/>
    <w:rsid w:val="00E25867"/>
    <w:rsid w:val="00E25F5F"/>
    <w:rsid w:val="00E308A9"/>
    <w:rsid w:val="00E3694E"/>
    <w:rsid w:val="00E529D4"/>
    <w:rsid w:val="00E52B23"/>
    <w:rsid w:val="00E54EB1"/>
    <w:rsid w:val="00E55186"/>
    <w:rsid w:val="00E63C10"/>
    <w:rsid w:val="00E6500C"/>
    <w:rsid w:val="00E67A14"/>
    <w:rsid w:val="00E70356"/>
    <w:rsid w:val="00E7160C"/>
    <w:rsid w:val="00E728BD"/>
    <w:rsid w:val="00E77DDD"/>
    <w:rsid w:val="00E80667"/>
    <w:rsid w:val="00E8571F"/>
    <w:rsid w:val="00EA487C"/>
    <w:rsid w:val="00EA56DF"/>
    <w:rsid w:val="00EB55CD"/>
    <w:rsid w:val="00EB6EE0"/>
    <w:rsid w:val="00EC7D24"/>
    <w:rsid w:val="00F1238A"/>
    <w:rsid w:val="00F313BE"/>
    <w:rsid w:val="00F6535F"/>
    <w:rsid w:val="00F73202"/>
    <w:rsid w:val="00F80B01"/>
    <w:rsid w:val="00F80D65"/>
    <w:rsid w:val="00F93992"/>
    <w:rsid w:val="00FA00C3"/>
    <w:rsid w:val="00FB2420"/>
    <w:rsid w:val="00FB78EB"/>
    <w:rsid w:val="00FC5A0C"/>
    <w:rsid w:val="00FD0661"/>
    <w:rsid w:val="00FD251E"/>
    <w:rsid w:val="00FE3966"/>
    <w:rsid w:val="00FE3FC6"/>
    <w:rsid w:val="00FF3D69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3155C-068E-40A3-8853-8F7BC33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8E"/>
    <w:pPr>
      <w:ind w:left="720"/>
      <w:contextualSpacing/>
    </w:pPr>
  </w:style>
  <w:style w:type="table" w:styleId="a4">
    <w:name w:val="Table Grid"/>
    <w:basedOn w:val="a1"/>
    <w:uiPriority w:val="59"/>
    <w:rsid w:val="005A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198E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5A19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5A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A84"/>
    <w:rPr>
      <w:rFonts w:ascii="Segoe UI" w:hAnsi="Segoe UI" w:cs="Segoe UI"/>
      <w:sz w:val="18"/>
      <w:szCs w:val="18"/>
    </w:rPr>
  </w:style>
  <w:style w:type="character" w:styleId="aa">
    <w:name w:val="Emphasis"/>
    <w:basedOn w:val="a0"/>
    <w:qFormat/>
    <w:rsid w:val="006B0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B5A8-9B81-414B-A5E9-099CAC24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User</cp:lastModifiedBy>
  <cp:revision>2</cp:revision>
  <cp:lastPrinted>2025-01-10T12:47:00Z</cp:lastPrinted>
  <dcterms:created xsi:type="dcterms:W3CDTF">2025-05-15T05:00:00Z</dcterms:created>
  <dcterms:modified xsi:type="dcterms:W3CDTF">2025-05-15T05:00:00Z</dcterms:modified>
</cp:coreProperties>
</file>