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1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787 от 14.11.2024</w:t>
      </w:r>
    </w:p>
    <w:tbl>
      <w:tblPr>
        <w:tblW w:w="1641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03"/>
        <w:gridCol w:w="2310"/>
        <w:gridCol w:w="241"/>
        <w:gridCol w:w="2375"/>
        <w:gridCol w:w="1701"/>
        <w:gridCol w:w="1132"/>
        <w:gridCol w:w="1275"/>
        <w:gridCol w:w="1420"/>
        <w:gridCol w:w="1419"/>
        <w:gridCol w:w="1418"/>
        <w:gridCol w:w="9"/>
        <w:gridCol w:w="842"/>
        <w:gridCol w:w="9"/>
        <w:gridCol w:w="1266"/>
        <w:gridCol w:w="9"/>
        <w:gridCol w:w="388"/>
      </w:tblGrid>
      <w:tr>
        <w:trPr>
          <w:trHeight w:val="30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W w:w="23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W w:w="24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gridSpan w:val="12"/>
            <w:shd w:val="clear" w:color="000000" w:fill="ffffff"/>
            <w:tcW w:w="128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Бекіт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ілген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Денсаулық сақтау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вице-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министрі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__________________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_______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_____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2024 жыл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  <w:p>
            <w:pPr>
              <w:ind w:left="-43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ind w:left="-43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-2027 жылдарға арналған ҚР халқына дерматовенерологиялық көмекті жетілдіру жөніндегі жол картасы</w:t>
            </w:r>
            <w:r/>
          </w:p>
          <w:p>
            <w:pPr>
              <w:ind w:left="-430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</w:tr>
      <w:tr>
        <w:trPr>
          <w:trHeight w:val="78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  <w:tc>
          <w:tcPr>
            <w:gridSpan w:val="1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r>
            <w:r/>
          </w:p>
        </w:tc>
      </w:tr>
      <w:tr>
        <w:trPr>
          <w:gridAfter w:val="1"/>
          <w:trHeight w:val="2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 т/т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3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Іс-шараның атауы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Мәселенің сипаттамасы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Өзгерістер мен толықтырулар енгізу үшін НҚА-ның толық атауы (нөмірі мен күні бар)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Аяқтау нысаны</w:t>
            </w:r>
            <w:r/>
          </w:p>
        </w:tc>
        <w:tc>
          <w:tcPr>
            <w:gridSpan w:val="5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Жауапты орындаушылар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Орындау мерзімі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Қаржыландыру көздері</w:t>
            </w:r>
            <w:r/>
          </w:p>
        </w:tc>
      </w:tr>
      <w:tr>
        <w:trPr>
          <w:gridAfter w:val="2"/>
          <w:trHeight w:val="7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3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ҚР ДСМ құрылымдық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бөлімшелері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Вице-министр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Ведомстволық бағынысты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ұйымдар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ҚР ДСМ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бейінді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1"/>
          <w:trHeight w:val="29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gridSpan w:val="1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Дерматовенерологиялық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көмек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көрсетуді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регламенттейтін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нормативтік-құқықтық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актілерді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жетілдіру</w:t>
            </w:r>
            <w:r/>
          </w:p>
        </w:tc>
      </w:tr>
      <w:tr>
        <w:trPr>
          <w:gridAfter w:val="2"/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Облыстық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қалалық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) дерматовенерологиялық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диспансерлерді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(Дерматовенерология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орталықтарын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/Дерматология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жұқпалы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аурулар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орталықтарын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номенклатураға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енгізу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бөлігінде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Денсаулық сақтау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ұйымдары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желісінің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мемлекеттік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нормативін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бекіту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туралы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Қазақстан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Республикасы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Денсаулық сақтау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министрінің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м.а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. 2020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жылғы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15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қазандағы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ДСМ-133/2020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бұйрығына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өзгерістер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енгізу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Халыққа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дерматовенерологиялық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көмек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көрсететін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медициналық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ұйымдардың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ұйымдық-құқықтық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нысандары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әртүрлі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бұл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көрсетілетін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қызметтердің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сапасын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төмендетеді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Осыған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байланысты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желі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нормативінде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облыстық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қалалық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) дерматовенерологиялық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диспансерлерді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қалпына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келтіру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ұсынылады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Денсаулық сақтау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ұйымдары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желісінің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мемлекеттік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нормативін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бекіту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туралы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Қазақстан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Республикасы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Денсаулық сақтау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министрінің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м.а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. 2020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жылғы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15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қазандағы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№ҚР ДСМ-133/2020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бұйрығы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Бұйрық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highlight w:val="none"/>
                <w:lang w:val="kk-KZ" w:eastAsia="ru-RU"/>
              </w:rPr>
              <w:t xml:space="preserve">ИСД,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highlight w:val="none"/>
                <w:lang w:val="kk-KZ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highlight w:val="none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МКҰД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.М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ұратов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рлыбаев,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А.Амангел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диев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ҚДИАҒО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2025 жылдың 2 тоқсаны 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1"/>
          <w:trHeight w:val="24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gridSpan w:val="1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Дерматовенерологиялық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көмек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көрсететін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денсаулық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сақтау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ұйымдарының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материалдық-техникалық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базасын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нығайту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жабдықтармен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көлік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құралдарымен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ғимараттармен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жарақтандыру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</w:t>
            </w:r>
            <w:r/>
          </w:p>
        </w:tc>
      </w:tr>
      <w:tr>
        <w:trPr>
          <w:gridAfter w:val="2"/>
          <w:trHeight w:val="487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603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ҚДИАҒО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ғимаратына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күрделі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жөндеу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16"/>
                <w:szCs w:val="16"/>
                <w:lang w:eastAsia="ru-RU"/>
              </w:rPr>
              <w:t xml:space="preserve">жүргізу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6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Ғимараттардың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тозуы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Ақаулы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акт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ЖАО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ҚР ДСМ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Т.М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ұратов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Е.Нұрлыбаев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1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ҚДИАҒО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РБ</w:t>
            </w:r>
            <w:r/>
          </w:p>
        </w:tc>
      </w:tr>
      <w:tr>
        <w:trPr>
          <w:gridAfter w:val="2"/>
          <w:trHeight w:val="294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Ақаулы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актіні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жасау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61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4-2025</w:t>
            </w:r>
            <w:r/>
          </w:p>
        </w:tc>
        <w:tc>
          <w:tcPr>
            <w:gridSpan w:val="2"/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Бюджеттік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өтінімді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жасау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61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Бюджеттік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өтінім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gridSpan w:val="2"/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pStyle w:val="686"/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val="kk-KZ" w:eastAsia="ru-RU"/>
              </w:rPr>
              <w:t xml:space="preserve">ЖСҚ әзірлеу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61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ЖСҚ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gridSpan w:val="2"/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455"/>
        </w:trPr>
        <w:tc>
          <w:tcPr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pStyle w:val="686"/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ҚР ДСМ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val="kk-KZ" w:eastAsia="ru-RU"/>
              </w:rPr>
              <w:t xml:space="preserve">-ге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ЖСҚ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val="kk-KZ" w:eastAsia="ru-RU"/>
              </w:rPr>
              <w:t xml:space="preserve">-мен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бюджеттік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өтінім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val="kk-KZ" w:eastAsia="ru-RU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енгізу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right w:val="single" w:color="auto" w:sz="4" w:space="0"/>
            </w:tcBorders>
            <w:tcW w:w="261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13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Бюджеттік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өтінім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val="kk-KZ" w:eastAsia="ru-RU"/>
              </w:rPr>
              <w:t xml:space="preserve">ді бекіту</w:t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/>
          </w:p>
        </w:tc>
        <w:tc>
          <w:tcPr>
            <w:gridSpan w:val="2"/>
            <w:shd w:val="clear" w:color="000000" w:fill="ffffff"/>
            <w:tcBorders>
              <w:left w:val="none" w:color="000000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315"/>
        </w:trPr>
        <w:tc>
          <w:tcPr>
            <w:shd w:val="clear" w:color="000000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pStyle w:val="686"/>
              <w:ind w:left="-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Күрделі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жөндеу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жүргізу</w:t>
            </w:r>
            <w:r/>
          </w:p>
        </w:tc>
        <w:tc>
          <w:tcPr>
            <w:gridSpan w:val="2"/>
            <w:shd w:val="clear" w:color="000000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2027</w:t>
            </w:r>
            <w:r/>
          </w:p>
        </w:tc>
        <w:tc>
          <w:tcPr>
            <w:gridSpan w:val="2"/>
            <w:shd w:val="clear" w:color="000000" w:fill="ffffff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2"/>
          <w:trHeight w:val="5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2-2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Алматы қ. ТВД,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Жетісу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Қызылорда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облыстарының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ОТВД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ғимараттарына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күрделі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жөндеу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жүргізу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Ғимараттардың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тозуы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Ақаулы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акт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Бюджеттік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өтінім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 ЖСҚ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Бюджеттік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өтінім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val="kk-KZ" w:eastAsia="ru-RU"/>
              </w:rPr>
              <w:t xml:space="preserve">ді бекіту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ЖАО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ЖАО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ВД,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ВД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</w:t>
            </w:r>
            <w:r/>
          </w:p>
        </w:tc>
      </w:tr>
      <w:tr>
        <w:trPr>
          <w:gridAfter w:val="1"/>
          <w:trHeight w:val="193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gridSpan w:val="14"/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54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Кадрлық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әлеуетті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нығайту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білім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беру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компоненті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ЖОО,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медициналық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колледждер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ҒЗИ, ҰО)</w:t>
            </w:r>
            <w:r/>
          </w:p>
        </w:tc>
      </w:tr>
      <w:tr>
        <w:trPr>
          <w:gridAfter w:val="2"/>
          <w:trHeight w:val="8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дерматовенерологының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ұсыныстарын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ескере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отырып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Ересектер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балалар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Дерматовенерологиясы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мамандығы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бойынша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резидентураның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білім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бағдарламаларын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өзектендіру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жоғары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жоғары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оқу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орнынан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кейінгі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білім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ұйымдарымен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білім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бағдарламаларын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пысықтау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талаптар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мен технологияларды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ескере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отырып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Дерматовенерология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саласында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мамандандырылған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кадрлар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даярлау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ҚР ДСМ-ге ақпарат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ҒАРД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ҚДИАҒО, ЖОО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-2026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</w:tr>
      <w:tr>
        <w:trPr>
          <w:gridAfter w:val="1"/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gridSpan w:val="1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Дерматовенерология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бейіні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бойынша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Медициналық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фармацевтикалық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ғылым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жүйесін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жетілдіру (ғылыми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іс-шаралар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зерттеу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әлеуеті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инновациялар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</w:t>
            </w:r>
            <w:r/>
          </w:p>
        </w:tc>
      </w:tr>
      <w:tr>
        <w:trPr>
          <w:gridAfter w:val="2"/>
          <w:trHeight w:val="52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Дерматовенерология,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Дерматокосметология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эстетикалық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медицина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бойынша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ғылыми-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практикалық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конференциялар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конгрестер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ұйымдастыру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өткізу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Дерматовенерология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саласындағы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жоғары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немесе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жоғары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оқу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орнынан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кейінгі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білім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беру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ұйымының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ғылыми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орталықтарының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кәсіптік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қауымдастықтардың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практикалық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денсаулық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сақтаудың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интеграциясын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күшейту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ҚР ДСМ-ге ақпарат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ҒАРД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ҚДИАҒО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ЖОО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Бейіндік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қауымдастықтар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</w:tr>
      <w:tr>
        <w:trPr>
          <w:gridAfter w:val="2"/>
          <w:trHeight w:val="52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ғылым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жоғары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білім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министрлігі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ғылыми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зерттеулерді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орындауға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арналған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конкурстық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құжаттамаға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енгізу үшін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техникалық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тапсырмаларды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әзірлеу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келісу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ЖЖБИ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қоздырғыштары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штаммдарының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генетикалық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төзімділігін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анықтау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соның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ішінде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Neisseria gonorrhoeae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Гонококк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инфекциясы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қоздырғыштарының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микробқа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қарсы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препараттарға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төзімділігін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бақылау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Техникалық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тапсырма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ҒАРД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ҚДИАҒО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2026-202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РБ</w:t>
            </w:r>
            <w:r/>
          </w:p>
        </w:tc>
      </w:tr>
      <w:tr>
        <w:trPr>
          <w:gridAfter w:val="1"/>
          <w:trHeight w:val="10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1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Дерматовенерологиялық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аурулардың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пайда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болу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қауіп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факторларын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басқару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пациенттік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мектептердің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ашылуы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ақпараттық-түсіндіру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жұмысы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</w:t>
            </w:r>
            <w:r/>
          </w:p>
        </w:tc>
      </w:tr>
      <w:tr>
        <w:trPr>
          <w:gridAfter w:val="2"/>
          <w:trHeight w:val="58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Мерездің анадан балаға берілуінің алдын алу бойынша дәрігерлер мен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ОМП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 үшін кәсіптік қосымша және бейресми білім беруді ұйымдастыру және өткізу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Жүкті әйелдерді басқарумен айналысатын МСАК және клиника мамандарын туа біткен мерезді уақтылы диагностикалау және алдын алу бойынша оқыту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Ақпарат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МКҰД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ҚДСБ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</w:t>
            </w:r>
            <w:r/>
          </w:p>
        </w:tc>
      </w:tr>
      <w:tr>
        <w:trPr>
          <w:gridAfter w:val="2"/>
          <w:trHeight w:val="58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5-2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8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өңірінде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(Алматы,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Шығыс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Қазақстан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Жетісу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Қостанай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Маңғыстау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Солтүстік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Қазақстан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Ұлытау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облыстары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Астана қ.)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дерматоздың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орташа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ауыр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ауыр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түрлерімен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ауыратын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науқастарға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арналған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мектептер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ашу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Аурулардың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өршуінің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қауіп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факторларының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алдын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алу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мақсатында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пациенттерді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оқыту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Ақпарат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Ақпарат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МКҰД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ҚДСБ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</w:t>
            </w:r>
            <w:r/>
          </w:p>
        </w:tc>
      </w:tr>
      <w:tr>
        <w:trPr>
          <w:gridAfter w:val="2"/>
          <w:trHeight w:val="45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Жасөспірімдер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жастар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арасында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ЖЖБИ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жұқпалы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дерматоздар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бойынша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ақпараттық-түсіндіру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жұмыстарын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жүргізу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Халықтың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хабардарлығын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арттыру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Стандарт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Ақпарат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МКҰД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pStyle w:val="687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ҚДСБ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ЖАО</w:t>
            </w:r>
            <w:r/>
          </w:p>
        </w:tc>
      </w:tr>
      <w:tr>
        <w:trPr>
          <w:gridAfter w:val="1"/>
          <w:trHeight w:val="1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6</w:t>
            </w:r>
            <w:r/>
          </w:p>
        </w:tc>
        <w:tc>
          <w:tcPr>
            <w:gridSpan w:val="14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Дерматовенерология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бейіні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бойынша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диагностика мен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емдеудің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клиникалық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хаттамаларын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өзектендіру</w:t>
            </w:r>
            <w:r/>
          </w:p>
        </w:tc>
      </w:tr>
      <w:tr>
        <w:trPr>
          <w:gridAfter w:val="2"/>
          <w:trHeight w:val="8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Дерматовенерологиялық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ауруларды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диагностикалау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емдеудің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жаңа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хаттамаларын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әзірлеу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(Дарье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фолликулярлық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дискератозы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қызыл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шаш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Кебек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Питириазы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(Дивержи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), Розацея,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туберозды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склероз (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Бурневилл-прингли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), герпес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Зостері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Витилиго).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ҚР-да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жоқ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әзірлеу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қажеттілігі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аурушаңдық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айналымның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өсуіне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байланысты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Әзірленген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хаттамалар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аталған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нозологияны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диагностикалаудың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терапияның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және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алдын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алудың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заманауи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әдістері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критерийлерін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қамтиды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Осы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КХ-дағы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дәрілік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заттардың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арсеналы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олардың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дәлелді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базасын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ескере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отырып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қалыптастырылатын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болады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Қорытындысында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айтылғандар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барлық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кезеңдерде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көмек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көрсету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сапасын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жақсартуға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мүмкіндік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береді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дерматовенеролог-дәрігерлерге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дерматокосметологтарға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терапевттерге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ЖПД-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арналған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хаттамалар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хаттамалар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МКҰД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ДСДҰҒО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Эксперт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тік кеңес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ҚДИАҒО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ЖОО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Бейіндік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қауымдастықтар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5-202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7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</w:tr>
      <w:tr>
        <w:trPr>
          <w:gridAfter w:val="2"/>
          <w:trHeight w:val="8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-2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0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Дерматовенерологиялық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ауруларды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диагностикалау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емдеудің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хаттамаларын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қайта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қарау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Токсиокодерма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лихен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планусы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Алопеция, Дюринг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дерматиті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лихен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раушаны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безеу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Дерматофития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атопиялық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дерматит,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қышыма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хламидиоз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инфекциясы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Гонококк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инфекциясы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туа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біткен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мерез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микоплазмоз,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уреаплазмоз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қоздырғыштарынан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туындаған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урогенитальды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аурулар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микоплазмоз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қоздырғыштарынан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туындаған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урогенитальды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аурулар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)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ЖЖБИ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және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емдеу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бойынша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СДС, ДДҰ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халықаралық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ұсынымдарының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жаңартылуына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байланысты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ЖЖБИ КХ-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толықтырулар енгізу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қажеттілігі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Сонымен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2015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жылдан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бері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жаңартылмаған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аурулары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бойынша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көптеген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КХ-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жаңартуды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етеді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Клиникалық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хаттамалар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аталған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нозологияны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диагностикалаудың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терапияның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және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алдын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алудың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заманауи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әдістері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критерийлерін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қамтиды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Осы КХ-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дағы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дәрілік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заттардың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арсеналы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олардың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дәлелді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базасын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ескере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отырып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қалыптастырылатын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болады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Қорытындысында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айтылғандар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барлық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кезеңдерде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көмек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көрсету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сапасын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жақсартуға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мүмкіндік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береді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хаттамалар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Клиникалық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хаттамалар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МКҰД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ДСДҰҒО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Эксперт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тік кеңес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Т.С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лтан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азиев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Е.Н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val="kk-KZ" w:eastAsia="ru-RU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рлыбаев</w:t>
            </w:r>
            <w:r/>
          </w:p>
          <w:p>
            <w:pP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ҚДИАҒО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ЖОО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,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Бейіндік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қауымдастықтар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ҚР ДСМ бас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штаттан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тыс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маманы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5-202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7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Қажет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емес</w:t>
            </w:r>
            <w:r/>
          </w:p>
        </w:tc>
      </w:tr>
    </w:tbl>
    <w:p>
      <w:pPr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tbl>
      <w:tblPr>
        <w:tblW w:w="1119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93"/>
        <w:gridCol w:w="2605"/>
        <w:gridCol w:w="1701"/>
        <w:gridCol w:w="1559"/>
        <w:gridCol w:w="1134"/>
        <w:gridCol w:w="1134"/>
        <w:gridCol w:w="1134"/>
        <w:gridCol w:w="1134"/>
      </w:tblGrid>
      <w:tr>
        <w:trPr>
          <w:trHeight w:val="300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Нысаналы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көрсеткіштер</w:t>
            </w:r>
            <w:r/>
          </w:p>
        </w:tc>
        <w:tc>
          <w:tcPr>
            <w:gridSpan w:val="5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  <w:t xml:space="preserve">Жоспарлы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  <w:t xml:space="preserve">кезең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  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Көрсеткіштің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атауы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Өлшеу бірл.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жыл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жоспар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/факт)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6"/>
                <w:szCs w:val="16"/>
                <w:lang w:eastAsia="ru-RU"/>
              </w:rPr>
              <w:t xml:space="preserve">2027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Мерез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диагнозымен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қамтылған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жүкті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әйелдердің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пайызы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*** (%)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%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≥95/99,7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≥95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Туа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біткен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мерезді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деңгейде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ұстау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жағдай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***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 100 000 живорожденных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≤50/2,9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≤50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15-49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жас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тобындағы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мерез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 100 000 тыс.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населения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15-49 лет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17,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Терінің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оның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Қосымшаларының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саңырауқұлақ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ауруларының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жиілігі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****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на 100 тыс. населения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56,3/38,1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44,0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43,0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szCs w:val="16"/>
                <w:lang w:eastAsia="ru-RU"/>
              </w:rPr>
              <w:t xml:space="preserve">,0</w:t>
            </w:r>
            <w:r/>
          </w:p>
        </w:tc>
      </w:tr>
    </w:tbl>
    <w:p>
      <w:pPr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Ескертпе</w:t>
      </w:r>
      <w:r>
        <w:rPr>
          <w:rFonts w:ascii="Times New Roman" w:hAnsi="Times New Roman" w:cs="Times New Roman"/>
          <w:sz w:val="16"/>
          <w:szCs w:val="16"/>
        </w:rPr>
        <w:t xml:space="preserve">: *** </w:t>
      </w:r>
      <w:r>
        <w:rPr>
          <w:rFonts w:ascii="Times New Roman" w:hAnsi="Times New Roman" w:cs="Times New Roman"/>
          <w:sz w:val="16"/>
          <w:szCs w:val="16"/>
        </w:rPr>
        <w:t xml:space="preserve">ДДҰ-ның 2019 </w:t>
      </w:r>
      <w:r>
        <w:rPr>
          <w:rFonts w:ascii="Times New Roman" w:hAnsi="Times New Roman" w:cs="Times New Roman"/>
          <w:sz w:val="16"/>
          <w:szCs w:val="16"/>
        </w:rPr>
        <w:t xml:space="preserve">жылғы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ұсыныстары</w:t>
      </w:r>
      <w:r>
        <w:rPr>
          <w:rFonts w:ascii="Times New Roman" w:hAnsi="Times New Roman" w:cs="Times New Roman"/>
          <w:sz w:val="16"/>
          <w:szCs w:val="16"/>
        </w:rPr>
        <w:t xml:space="preserve">; **** </w:t>
      </w:r>
      <w:r>
        <w:rPr>
          <w:rFonts w:ascii="Times New Roman" w:hAnsi="Times New Roman" w:cs="Times New Roman"/>
          <w:sz w:val="16"/>
          <w:szCs w:val="16"/>
        </w:rPr>
        <w:t xml:space="preserve">Жылдық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есепті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9 </w:t>
      </w:r>
      <w:r>
        <w:rPr>
          <w:rFonts w:ascii="Times New Roman" w:hAnsi="Times New Roman" w:cs="Times New Roman"/>
          <w:sz w:val="16"/>
          <w:szCs w:val="16"/>
        </w:rPr>
        <w:t xml:space="preserve">нысандағы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деректер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/>
      <w:bookmarkStart w:id="0" w:name="_GoBack"/>
      <w:r/>
      <w:bookmarkEnd w:id="0"/>
      <w:r/>
      <w:r/>
    </w:p>
    <w:p>
      <w:pPr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</w:r>
      <w:r/>
    </w:p>
    <w:p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Аббревиатуралар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түсіндірмесі</w:t>
      </w:r>
      <w:r/>
    </w:p>
    <w:tbl>
      <w:tblPr>
        <w:tblStyle w:val="68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12575"/>
      </w:tblGrid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Дүниежүзілік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денсаулық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сақтау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ұйымы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ЖОО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Жоғары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оқу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орны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ГИБ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Гендік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инженерлік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препараттар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Қалалық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тері-венерологиялық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диспансер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ТМККК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Тегін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көмектің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кепілдік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берілген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көлемі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ҒАРД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ылым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және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ресурстары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департаменті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МКҰД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 көмекті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ұйымдастыру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департаменті</w:t>
            </w:r>
            <w:r/>
          </w:p>
        </w:tc>
      </w:tr>
      <w:tr>
        <w:trPr/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57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Инвестициялық саясат департаменті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ЖЖБИ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Жыныстық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жолмен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берілетін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инфекциялар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Тері-венерологиялық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диспансер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Тері-венерологиялық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орталығы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КДЗ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Клиникалық-диагностикалық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зертхана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КДҚ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Консультациялық-диагностикалық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қызметтер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ҚДИАҒО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Қазақ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дерматология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және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инфекциялық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аурулар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ғылыми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орталығы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шаруашылық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жүргізу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құқығындағы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кәсіпорны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Х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Клиникалық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хаттамалар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Жергілікті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ҚР ДСМ 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Қазақстан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Денсаулық сақтау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министрлігі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ЖАО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Жергілікті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атқарушы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органдар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ҒЗИ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Ғылыми-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зерттеу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институттары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ДСД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Денсаулық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сақтауды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дамытудың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ұлттық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ғылыми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орталығы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НҚА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Нормативтік-құқықтық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актілер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ҒО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Ғылыми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орталықтар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ЖООКБҰ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Жоғары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және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немесе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жоғары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оқу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орнынан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кейінгі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білім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ұйымдары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ОТВД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Облыстық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тері-венерологиялық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диспансер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МСАК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Алғашқы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медициналық-санитарлық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көмек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ЖСҚ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Жобалау-сметалық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құжаттама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ҚР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Қазақстан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Республикасы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ДСБ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Денсаулық сақтау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басқармасы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ОДСБ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Облыстың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денсаулық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сақтау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басқармасы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Neisseria gonorrhoeae</w:t>
            </w:r>
            <w:r/>
          </w:p>
        </w:tc>
        <w:tc>
          <w:tcPr>
            <w:tcW w:w="12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Гонококк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инфекциясының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қоздырғышы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08" w:equalWidth="1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18:26 Жангарашева Гульнара Касеновна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21:29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21:57 Жемакишева Амина Абаевна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09:31 Касымова Алима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09:55 Изденов Асет Кайратович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16:42 Кауышева Алмагуль Амангельдиновна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18:39 Темирханов Серикболсын Темирханович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14.11.2024 16:23 Нурлыбаев Ержан Шакирович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14.11.2024 18:00.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15039328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 xml:space="preserve"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 xml:space="preserve">1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  <w:r/>
      </w:p>
    </w:sdtContent>
  </w:sdt>
  <w:p>
    <w:pPr>
      <w:pStyle w:val="688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Абдразак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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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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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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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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8"/>
    <w:link w:val="677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6"/>
    <w:next w:val="67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6"/>
    <w:next w:val="67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76"/>
    <w:next w:val="67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8"/>
    <w:link w:val="32"/>
    <w:uiPriority w:val="10"/>
    <w:rPr>
      <w:sz w:val="48"/>
      <w:szCs w:val="48"/>
    </w:rPr>
  </w:style>
  <w:style w:type="paragraph" w:styleId="34">
    <w:name w:val="Subtitle"/>
    <w:basedOn w:val="676"/>
    <w:next w:val="67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8"/>
    <w:link w:val="34"/>
    <w:uiPriority w:val="11"/>
    <w:rPr>
      <w:sz w:val="24"/>
      <w:szCs w:val="24"/>
    </w:rPr>
  </w:style>
  <w:style w:type="paragraph" w:styleId="36">
    <w:name w:val="Quote"/>
    <w:basedOn w:val="676"/>
    <w:next w:val="67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6"/>
    <w:next w:val="67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8"/>
    <w:link w:val="688"/>
    <w:uiPriority w:val="99"/>
  </w:style>
  <w:style w:type="character" w:styleId="43">
    <w:name w:val="Footer Char"/>
    <w:basedOn w:val="678"/>
    <w:link w:val="690"/>
    <w:uiPriority w:val="99"/>
  </w:style>
  <w:style w:type="paragraph" w:styleId="44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0"/>
    <w:uiPriority w:val="99"/>
  </w:style>
  <w:style w:type="table" w:styleId="47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7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8"/>
    <w:uiPriority w:val="99"/>
    <w:unhideWhenUsed/>
    <w:rPr>
      <w:vertAlign w:val="superscript"/>
    </w:rPr>
  </w:style>
  <w:style w:type="paragraph" w:styleId="176">
    <w:name w:val="endnote text"/>
    <w:basedOn w:val="67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8"/>
    <w:uiPriority w:val="99"/>
    <w:semiHidden/>
    <w:unhideWhenUsed/>
    <w:rPr>
      <w:vertAlign w:val="superscript"/>
    </w:rPr>
  </w:style>
  <w:style w:type="paragraph" w:styleId="179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paragraph" w:styleId="677">
    <w:name w:val="Heading 1"/>
    <w:basedOn w:val="676"/>
    <w:link w:val="68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Balloon Text"/>
    <w:basedOn w:val="676"/>
    <w:link w:val="68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2" w:customStyle="1">
    <w:name w:val="Текст выноски Знак"/>
    <w:basedOn w:val="678"/>
    <w:link w:val="681"/>
    <w:uiPriority w:val="99"/>
    <w:semiHidden/>
    <w:rPr>
      <w:rFonts w:ascii="Segoe UI" w:hAnsi="Segoe UI" w:cs="Segoe UI"/>
      <w:sz w:val="18"/>
      <w:szCs w:val="18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4" w:customStyle="1">
    <w:name w:val="Заголовок 1 Знак"/>
    <w:basedOn w:val="678"/>
    <w:link w:val="677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85">
    <w:name w:val="Normal (Web)"/>
    <w:basedOn w:val="67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86">
    <w:name w:val="List Paragraph"/>
    <w:basedOn w:val="67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after="0" w:line="240" w:lineRule="auto"/>
    </w:pPr>
  </w:style>
  <w:style w:type="paragraph" w:styleId="688">
    <w:name w:val="Header"/>
    <w:basedOn w:val="676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78"/>
    <w:link w:val="688"/>
    <w:uiPriority w:val="99"/>
  </w:style>
  <w:style w:type="paragraph" w:styleId="690">
    <w:name w:val="Footer"/>
    <w:basedOn w:val="676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78"/>
    <w:link w:val="69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customXml" Target="../customXml/item1.xml"/><Relationship Id="rId919" Type="http://schemas.openxmlformats.org/officeDocument/2006/relationships/image" Target="media/image919.png"/><Relationship Id="rId997" Type="http://schemas.openxmlformats.org/officeDocument/2006/relationships/footer" Target="footer1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26ACF5E-CE1C-4CF8-97D0-66E9F8C3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Джусупгалиева Марзия Хакимовна</dc:creator>
  <cp:keywords/>
  <dc:description/>
  <cp:lastModifiedBy>Абдразак Майра</cp:lastModifiedBy>
  <cp:revision>12</cp:revision>
  <dcterms:created xsi:type="dcterms:W3CDTF">2024-11-06T10:04:00Z</dcterms:created>
  <dcterms:modified xsi:type="dcterms:W3CDTF">2024-11-07T12:52:03Z</dcterms:modified>
</cp:coreProperties>
</file>