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787 от 14.11.2024</w:t>
      </w:r>
    </w:p>
    <w:p>
      <w:pPr>
        <w:pStyle w:val="687"/>
        <w:rPr>
          <w:rFonts w:ascii="Times New Roman" w:hAnsi="Times New Roman" w:cs="Times New Roman"/>
          <w:b/>
          <w:sz w:val="16"/>
          <w:szCs w:val="16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Утвержд</w:t>
      </w:r>
      <w:r>
        <w:rPr>
          <w:rFonts w:ascii="Times New Roman" w:hAnsi="Times New Roman" w:cs="Times New Roman"/>
          <w:b/>
          <w:sz w:val="16"/>
          <w:szCs w:val="16"/>
        </w:rPr>
        <w:t xml:space="preserve">ен приказом</w:t>
      </w:r>
      <w:r/>
    </w:p>
    <w:p>
      <w:pPr>
        <w:pStyle w:val="68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Вице</w:t>
      </w:r>
      <w:r>
        <w:rPr>
          <w:rFonts w:ascii="Times New Roman" w:hAnsi="Times New Roman" w:cs="Times New Roman"/>
          <w:b/>
          <w:sz w:val="16"/>
          <w:szCs w:val="16"/>
        </w:rPr>
        <w:t xml:space="preserve">-м</w:t>
      </w:r>
      <w:r>
        <w:rPr>
          <w:rFonts w:ascii="Times New Roman" w:hAnsi="Times New Roman" w:cs="Times New Roman"/>
          <w:b/>
          <w:sz w:val="16"/>
          <w:szCs w:val="16"/>
        </w:rPr>
        <w:t xml:space="preserve">инистр</w:t>
      </w:r>
      <w:r>
        <w:rPr>
          <w:rFonts w:ascii="Times New Roman" w:hAnsi="Times New Roman" w:cs="Times New Roman"/>
          <w:b/>
          <w:sz w:val="16"/>
          <w:szCs w:val="16"/>
        </w:rPr>
        <w:t xml:space="preserve">а</w:t>
      </w:r>
      <w:r>
        <w:rPr>
          <w:rFonts w:ascii="Times New Roman" w:hAnsi="Times New Roman" w:cs="Times New Roman"/>
          <w:b/>
          <w:sz w:val="16"/>
          <w:szCs w:val="16"/>
        </w:rPr>
        <w:t xml:space="preserve"> здравоохранения РК</w:t>
      </w:r>
      <w:r/>
    </w:p>
    <w:p>
      <w:pPr>
        <w:pStyle w:val="68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______</w:t>
      </w:r>
      <w:r>
        <w:rPr>
          <w:rFonts w:ascii="Times New Roman" w:hAnsi="Times New Roman" w:cs="Times New Roman"/>
          <w:b/>
          <w:sz w:val="16"/>
          <w:szCs w:val="16"/>
        </w:rPr>
        <w:t xml:space="preserve">______________________</w:t>
      </w:r>
      <w:r>
        <w:rPr>
          <w:rFonts w:ascii="Times New Roman" w:hAnsi="Times New Roman" w:cs="Times New Roman"/>
          <w:b/>
          <w:sz w:val="16"/>
          <w:szCs w:val="16"/>
        </w:rPr>
        <w:t xml:space="preserve">______</w:t>
      </w:r>
      <w:r/>
    </w:p>
    <w:p>
      <w:pPr>
        <w:pStyle w:val="68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от_______2024 года</w:t>
      </w:r>
      <w:r/>
    </w:p>
    <w:tbl>
      <w:tblPr>
        <w:tblW w:w="1641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03"/>
        <w:gridCol w:w="2310"/>
        <w:gridCol w:w="241"/>
        <w:gridCol w:w="2233"/>
        <w:gridCol w:w="1560"/>
        <w:gridCol w:w="1415"/>
        <w:gridCol w:w="1275"/>
        <w:gridCol w:w="1562"/>
        <w:gridCol w:w="1418"/>
        <w:gridCol w:w="1559"/>
        <w:gridCol w:w="850"/>
        <w:gridCol w:w="994"/>
        <w:gridCol w:w="9"/>
        <w:gridCol w:w="388"/>
      </w:tblGrid>
      <w:tr>
        <w:trPr>
          <w:trHeight w:val="30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W w:w="23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W w:w="24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0"/>
            <w:shd w:val="clear" w:color="000000" w:fill="ffffff"/>
            <w:tcW w:w="128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Дорожная карта</w:t>
            </w:r>
            <w:r/>
          </w:p>
          <w:p>
            <w:pPr>
              <w:ind w:left="-43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совершенствованию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дерматовенерологиче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ской помощи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населению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РК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202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</w:tr>
      <w:tr>
        <w:trPr>
          <w:trHeight w:val="78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0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</w:tr>
      <w:tr>
        <w:trPr>
          <w:gridAfter w:val="1"/>
          <w:trHeight w:val="2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3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мероприятия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Описание проблем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Полное наименование НПА                   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 номером и датой) для внесения изменений и дополнений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 завершения</w:t>
            </w:r>
            <w:r/>
          </w:p>
        </w:tc>
        <w:tc>
          <w:tcPr>
            <w:gridSpan w:val="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Ответственные исполнители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Сроки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сполнения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gridAfter w:val="2"/>
          <w:trHeight w:val="7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3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Структурные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подразделения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МЗ РК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Вице-министр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Подведомственные организации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внештатный профильный специалист МЗ РК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1"/>
          <w:trHeight w:val="2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gridSpan w:val="1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Совершенствование нормативно-правовых актов, регламентирующих оказание </w:t>
            </w:r>
            <w:r>
              <w:rPr>
                <w:rFonts w:ascii="Times New Roman" w:hAnsi="Times New Roman" w:cs="Times New Roman" w:eastAsia="Times New Roman"/>
                <w:b/>
                <w:iCs/>
                <w:sz w:val="16"/>
                <w:szCs w:val="16"/>
                <w:lang w:eastAsia="ru-RU"/>
              </w:rPr>
              <w:t xml:space="preserve">дерматовенерологической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помощи</w:t>
            </w:r>
            <w:r/>
          </w:p>
        </w:tc>
      </w:tr>
      <w:tr>
        <w:trPr>
          <w:gridAfter w:val="2"/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Внесение изменений в приказ и.о. Министра здравоохранения Республики Казахстан от 15 октября 2020 г. №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ҚР ДСМ-133/2020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«Об утверждении государственного норматива сети организаций здравоохранения», в части включения в номенклатуру областных (городских) дерматовенерологических диспансеров (центров дерматовенерологии/центров дерматологии и инфекционных заболеваний)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Медицинские организац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ии, оказывающие дерматовенерологическую помощь населению, имеют разные организационно-правовые формы, что снижает качество оказываемых услуг. В связи с чем предлагается восстановить в нормативе сети областные (городские) дерматовенерологические диспансеры.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Приказ и.о. Министра здравоохранения Республики Казахстан от 15 октября 2020 г. №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ҚР ДСМ-133/2020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«Об утверждении государственного норматива сети организаций здравоохранения»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Приказ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highlight w:val="none"/>
                <w:lang w:eastAsia="ru-RU"/>
              </w:rPr>
              <w:t xml:space="preserve">ДИП,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ДОМП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Т.Муратов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А.Амангельдиев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КНЦДИЗ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кв.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МБ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1"/>
          <w:trHeight w:val="258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gridSpan w:val="1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Укрепление материально-технической базы организаций здравоохранения, оказывающих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дерматовенерологическую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помощь (оснащение оборудованием, транспортными средствами, здания)</w:t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03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Проведение капитального ремонта здания КНЦДИЗ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47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Изношенность зданий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1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Дефектный акт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МИО,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МЗ РК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Т.Муратов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КНЦДИЗ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РБ</w:t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Составление дефектного акта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47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2024-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Составление бюджетной заявки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47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Бюджетная заявка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pStyle w:val="686"/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Разработка ПСД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47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ПСД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pStyle w:val="686"/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Внесение бюджетной заявки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en-US" w:eastAsia="ru-RU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ПСД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в МЗ РК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47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1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Утверждение БЗ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6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pStyle w:val="686"/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Проведение капитального ремонта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2027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2-2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капитально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ремонт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зданий КВД г. Алматы, ОКВД Жетысу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ской, Кызылординской областях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Изношенность зданий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Дефектный акт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Бюджетная заявка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ПСД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Утверждение БЗ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ОКВД,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ГКВД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МБ</w:t>
            </w:r>
            <w:r/>
          </w:p>
        </w:tc>
      </w:tr>
      <w:tr>
        <w:trPr>
          <w:gridAfter w:val="1"/>
          <w:trHeight w:val="19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gridSpan w:val="1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Укрепление кадрового потенциала (образовательный компонент: ВУЗы, медицинские колледжи, НИИ, НЦ)</w:t>
            </w:r>
            <w:r/>
          </w:p>
        </w:tc>
      </w:tr>
      <w:tr>
        <w:trPr>
          <w:gridAfter w:val="2"/>
          <w:trHeight w:val="8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Актуализа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ция образовательных программ резидентуры по специальности «Дерматовенерология взрослая, детская» с учетом предложений главного внештатного дерматовенеролога МЗ РК и отработка им образовательных программ с организациями высшего и послевузовского образования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Подготовка специализированных кадров в области дерматовенерологии с учетом современных требований и технологий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Информация в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ДНЧР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КНЦДИЗ, ВУЗы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-2026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Не требуется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1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Совершенствование системы медицинской и фармацевтической науки по профилю «</w:t>
            </w:r>
            <w:r>
              <w:rPr>
                <w:rFonts w:ascii="Times New Roman" w:hAnsi="Times New Roman" w:cs="Times New Roman" w:eastAsia="Times New Roman"/>
                <w:b/>
                <w:iCs/>
                <w:sz w:val="16"/>
                <w:szCs w:val="16"/>
                <w:lang w:eastAsia="ru-RU"/>
              </w:rPr>
              <w:t xml:space="preserve">Дерматовенерология»</w:t>
            </w:r>
            <w:r>
              <w:rPr>
                <w:rFonts w:ascii="Times New Roman" w:hAnsi="Times New Roman" w:cs="Times New Roman" w:eastAsia="Times New Roman"/>
                <w:b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(научные мероприятия, исследовательский потенциал, инновации)</w:t>
            </w:r>
            <w:r/>
          </w:p>
        </w:tc>
      </w:tr>
      <w:tr>
        <w:trPr>
          <w:gridAfter w:val="2"/>
          <w:trHeight w:val="52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Организация и проведение научно-практических конференций, конгрессов по дерматовенерологии, дерматокосметологии и эстетической медицины.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Усиление интеграции научных центров ОВПО, профессиональных ассоциаций, практического здравоохранения в области дерматовенерологии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 в МЗ.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ДНЧР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КНЦДИЗ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ВУЗы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Профильные ассоциации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Не требуется</w:t>
            </w:r>
            <w:r/>
          </w:p>
        </w:tc>
      </w:tr>
      <w:tr>
        <w:trPr>
          <w:gridAfter w:val="2"/>
          <w:trHeight w:val="52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Разработка и согласование технических заданий для включения в конкурсную документацию на выполнение научных исследований МЗ РК и МНВО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Определение генетической устойчивости штаммов возбудителей ИППП, в т.ч. Neisseria gonorrhoeae и мониторинг за устойчивостью возбудителей гонококковой инфекции к противомикробным препаратам 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Техническое задание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ДНЧР 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КНЦДИЗ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по КДЛ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2026-202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РБ</w:t>
            </w:r>
            <w:r/>
          </w:p>
        </w:tc>
      </w:tr>
      <w:tr>
        <w:trPr>
          <w:gridAfter w:val="1"/>
          <w:trHeight w:val="10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1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факторами риска возникновения </w:t>
            </w:r>
            <w:r>
              <w:rPr>
                <w:rFonts w:ascii="Times New Roman" w:hAnsi="Times New Roman" w:cs="Times New Roman" w:eastAsia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 xml:space="preserve">дерматовенерологических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заболеваний (открытие пациентских школ, информационно -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разъяснительная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работа)</w:t>
            </w:r>
            <w:r/>
          </w:p>
        </w:tc>
      </w:tr>
      <w:tr>
        <w:trPr>
          <w:gridAfter w:val="2"/>
          <w:trHeight w:val="58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Организация и проведение профессионального дополнительного и неформального образования для врачей и СМР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профилактик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 передачи сифилиса от матери к ребенку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Обучение специалистов ПМСП и клиник, занимающихся ведением беременных женщин, по своевременной диагностике и профилактике врождённого сифилиса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ДОМП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Е.Нурлыбаев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УОЗ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МБ</w:t>
            </w:r>
            <w:r/>
          </w:p>
        </w:tc>
      </w:tr>
      <w:tr>
        <w:trPr>
          <w:gridAfter w:val="2"/>
          <w:trHeight w:val="34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5-2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Открытие школ для пациентов со среднетяжелыми, тяжелыми формами дерматозов в 8 регионах РК (Алматинской, Восточно-Казахстанской, Же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тісуской, Костанайской, Мангистауской, Северо-Казахстанской, Ұлытауской областях и г. Астана)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Обучение пациентов с целью профилактики факторов риска обострения заболеваний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ДОМП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Т.Султангазиев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Е.Нурлыбаев</w:t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УОЗ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МБ</w:t>
            </w:r>
            <w:r/>
          </w:p>
        </w:tc>
      </w:tr>
      <w:tr>
        <w:trPr>
          <w:gridAfter w:val="2"/>
          <w:trHeight w:val="45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информационно - разъяснительн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ой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ИППП и заразным дерматозам среди подростков и молодёжи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Повышение информированности населения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Стандарт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Информация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ДОМП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</w:t>
            </w:r>
            <w:r/>
          </w:p>
          <w:p>
            <w:pPr>
              <w:pStyle w:val="687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УОЗ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МИО</w:t>
            </w:r>
            <w:r/>
          </w:p>
        </w:tc>
      </w:tr>
      <w:tr>
        <w:trPr>
          <w:gridAfter w:val="1"/>
          <w:trHeight w:val="1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/>
          </w:p>
        </w:tc>
        <w:tc>
          <w:tcPr>
            <w:gridSpan w:val="1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Актуализация клинических протоколов диагностики и лечения по профилю «Дерматовенерология» </w:t>
            </w:r>
            <w:r/>
          </w:p>
        </w:tc>
      </w:tr>
      <w:tr>
        <w:trPr>
          <w:gridAfter w:val="2"/>
          <w:trHeight w:val="8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Разработка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новых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и лечения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дерматовенерологических заболеваний (Фолликулярный дискератоз Дарье, Питириаз красный волосяной отрубевидный (Болезнь Дивержи), Розацея, Туберозный склероз (Болезнь Бурневилля-прингли), Опоясывающий герпес, Витилиго).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РК отсутствуют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разработки КП обусловлена ростом заболеваемости и обращаемости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включать в себя современные методы и критерии диагностики, терапии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профилактики указанной нозологии. 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рсенал лекарственных средств в данном КП будет формироваться с учетом их доказательной базы. Изложенное в итоге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позволит улучшить качество оказания медицинской помощи на всех этапах. Данный КП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будет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предназначен для врачей-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дерматовенерологов, дерматокосметологов, терапевтов, ВОП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Клинические протоколы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Клинические протоколы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ДОМП,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ННЦРЗ,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Экспертный совет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Е.Нурлыбаев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КНЦДИЗ,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ВУЗы,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Профильные ассоциации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5-202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Не требуется</w:t>
            </w:r>
            <w:r/>
          </w:p>
        </w:tc>
      </w:tr>
      <w:tr>
        <w:trPr>
          <w:gridAfter w:val="2"/>
          <w:trHeight w:val="8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Пересмотр клинических протоколов диагностики и лечения дерматовенерологических заболеваний (Токсиокодермия, Красный плоский лишай, Алопеция, Дерматит Дюринга, Розовый лишай Жибера, Угревая болезнь,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Дерматофитии, Атопический дерматит, Чесотка, Хламидийная инфекция, Гонококковая инфекция, Врожденный сифилис, Урогенитальные заболевания, вызванные возбудителями микоплазмоза, уреаплазмоза, Урогенитальные заболевания, вызванные возбудителями микоплазмоза)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обновлением международных рекомендаций СДС, ВОЗ по диагностике и лечению ИППП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есть необходимость внесений дополнений в КП ИППП. Кроме того, требуют обновления многие КП по кожным заболеваниям, которые не обновлялись с 2015 года.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протоколы будут включать в себя современные 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оды и критерии диагностики, терапии и профилактики указанной нозологии. Арсенал лекарственных средств в данном КП будет формироваться с учетом их доказательной базы. Изложенное в итоге позволит улучшить качество оказания медицинской помощи на всех этапах.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Клинические протоколы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Клинические протоколы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ДОМП,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ННЦРЗ,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Экспертный совет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Султангазиев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Е.Нурлыбаев</w:t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КНЦДИЗ,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ВУЗы,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Профильные ассоциации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Главный внештатный специалист МЗ РК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5-202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Не требуется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tbl>
      <w:tblPr>
        <w:tblW w:w="12929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67"/>
        <w:gridCol w:w="2535"/>
        <w:gridCol w:w="1599"/>
        <w:gridCol w:w="1450"/>
        <w:gridCol w:w="1307"/>
        <w:gridCol w:w="1601"/>
        <w:gridCol w:w="1453"/>
      </w:tblGrid>
      <w:tr>
        <w:trPr>
          <w:trHeight w:val="300"/>
        </w:trPr>
        <w:tc>
          <w:tcPr>
            <w:gridSpan w:val="3"/>
            <w:shd w:val="clear" w:color="000000" w:fill="ffffff"/>
            <w:tcW w:w="5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Целевые показатели</w:t>
            </w:r>
            <w:r/>
          </w:p>
        </w:tc>
        <w:tc>
          <w:tcPr>
            <w:gridSpan w:val="5"/>
            <w:shd w:val="clear" w:color="000000" w:fill="ffffff"/>
            <w:tcW w:w="7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  <w:t xml:space="preserve">Плановый период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W w:w="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</w:t>
            </w:r>
            <w:r/>
          </w:p>
        </w:tc>
        <w:tc>
          <w:tcPr>
            <w:shd w:val="clear" w:color="000000" w:fill="ffffff"/>
            <w:tcW w:w="2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shd w:val="clear" w:color="000000" w:fill="ffffff"/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измерения</w:t>
            </w:r>
            <w:r/>
          </w:p>
        </w:tc>
        <w:tc>
          <w:tcPr>
            <w:shd w:val="clear" w:color="000000" w:fill="ffffff"/>
            <w:tcW w:w="15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(план/факт)</w:t>
            </w:r>
            <w:r/>
          </w:p>
        </w:tc>
        <w:tc>
          <w:tcPr>
            <w:shd w:val="clear" w:color="000000" w:fill="ffffff"/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shd w:val="clear" w:color="000000" w:fill="ffffff"/>
            <w:tcW w:w="13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shd w:val="clear" w:color="000000" w:fill="ffffff"/>
            <w:tcW w:w="1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2026</w:t>
            </w:r>
            <w:r/>
          </w:p>
        </w:tc>
        <w:tc>
          <w:tcPr>
            <w:shd w:val="clear" w:color="000000" w:fill="ffffff"/>
            <w:tcW w:w="14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  <w:t xml:space="preserve">2027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W w:w="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W w:w="23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Процент беременных женщин, охваченных диагностикой на сифилис*** (%) </w:t>
            </w:r>
            <w:r/>
          </w:p>
        </w:tc>
        <w:tc>
          <w:tcPr>
            <w:shd w:val="clear" w:color="000000" w:fill="ffffff"/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%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W w:w="15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≥95/99,7</w:t>
            </w:r>
            <w:r/>
          </w:p>
        </w:tc>
        <w:tc>
          <w:tcPr>
            <w:shd w:val="clear" w:color="000000" w:fill="ffffff"/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  <w:tc>
          <w:tcPr>
            <w:shd w:val="clear" w:color="000000" w:fill="ffffff"/>
            <w:tcW w:w="13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  <w:tc>
          <w:tcPr>
            <w:shd w:val="clear" w:color="000000" w:fill="ffffff"/>
            <w:tcW w:w="16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  <w:tc>
          <w:tcPr>
            <w:shd w:val="clear" w:color="000000" w:fill="ffffff"/>
            <w:tcW w:w="14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W w:w="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W w:w="23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Удержание врождённого сифилиса на уровне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 случаев***</w:t>
            </w:r>
            <w:r/>
          </w:p>
        </w:tc>
        <w:tc>
          <w:tcPr>
            <w:shd w:val="clear" w:color="000000" w:fill="ffffff"/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 100 000 живорожденных</w:t>
            </w:r>
            <w:r/>
          </w:p>
        </w:tc>
        <w:tc>
          <w:tcPr>
            <w:shd w:val="clear" w:color="000000" w:fill="ffffff"/>
            <w:tcW w:w="15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≤50/2,9</w:t>
            </w:r>
            <w:r/>
          </w:p>
        </w:tc>
        <w:tc>
          <w:tcPr>
            <w:shd w:val="clear" w:color="000000" w:fill="ffffff"/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  <w:tc>
          <w:tcPr>
            <w:shd w:val="clear" w:color="000000" w:fill="ffffff"/>
            <w:tcW w:w="13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  <w:tc>
          <w:tcPr>
            <w:shd w:val="clear" w:color="000000" w:fill="ffffff"/>
            <w:tcW w:w="1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  <w:tc>
          <w:tcPr>
            <w:shd w:val="clear" w:color="000000" w:fill="ffffff"/>
            <w:tcW w:w="14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W w:w="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W w:w="23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Заболеваемость сифилиса в возрастной группе 15-49 лет  </w:t>
            </w:r>
            <w:r/>
          </w:p>
        </w:tc>
        <w:tc>
          <w:tcPr>
            <w:shd w:val="clear" w:color="000000" w:fill="ffffff"/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 100 000 тыс.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населения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15-49 лет </w:t>
            </w:r>
            <w:r/>
          </w:p>
        </w:tc>
        <w:tc>
          <w:tcPr>
            <w:shd w:val="clear" w:color="000000" w:fill="ffffff"/>
            <w:tcW w:w="15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17,8</w:t>
            </w:r>
            <w:r/>
          </w:p>
        </w:tc>
        <w:tc>
          <w:tcPr>
            <w:shd w:val="clear" w:color="000000" w:fill="ffffff"/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17,5</w:t>
            </w:r>
            <w:r/>
          </w:p>
        </w:tc>
        <w:tc>
          <w:tcPr>
            <w:shd w:val="clear" w:color="000000" w:fill="ffffff"/>
            <w:tcW w:w="13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17,4</w:t>
            </w:r>
            <w:r/>
          </w:p>
        </w:tc>
        <w:tc>
          <w:tcPr>
            <w:shd w:val="clear" w:color="000000" w:fill="ffffff"/>
            <w:tcW w:w="1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17,3</w:t>
            </w:r>
            <w:r/>
          </w:p>
        </w:tc>
        <w:tc>
          <w:tcPr>
            <w:shd w:val="clear" w:color="000000" w:fill="ffffff"/>
            <w:tcW w:w="14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W w:w="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W w:w="236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Заболеваемость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грибковыми заболеваниями кожи и ее придатков**** </w:t>
            </w:r>
            <w:r/>
          </w:p>
        </w:tc>
        <w:tc>
          <w:tcPr>
            <w:shd w:val="clear" w:color="000000" w:fill="ffffff"/>
            <w:tcW w:w="2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на 100 тыс. населения</w:t>
            </w:r>
            <w:r/>
          </w:p>
        </w:tc>
        <w:tc>
          <w:tcPr>
            <w:shd w:val="clear" w:color="000000" w:fill="ffffff"/>
            <w:tcW w:w="15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56,3/38,1</w:t>
            </w:r>
            <w:r/>
          </w:p>
        </w:tc>
        <w:tc>
          <w:tcPr>
            <w:shd w:val="clear" w:color="000000" w:fill="ffffff"/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44,0</w:t>
            </w:r>
            <w:r/>
          </w:p>
        </w:tc>
        <w:tc>
          <w:tcPr>
            <w:shd w:val="clear" w:color="000000" w:fill="ffffff"/>
            <w:tcW w:w="13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43,0</w:t>
            </w:r>
            <w:r/>
          </w:p>
        </w:tc>
        <w:tc>
          <w:tcPr>
            <w:shd w:val="clear" w:color="000000" w:fill="ffffff"/>
            <w:tcW w:w="1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W w:w="145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,0</w:t>
            </w:r>
            <w:r/>
          </w:p>
        </w:tc>
      </w:tr>
    </w:tbl>
    <w:p>
      <w:pPr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*** Рекомендации ВОЗ от 2019 г.; **** Данные из годовой отчетной формы 9.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Расшифровка аббревиатур</w:t>
      </w:r>
      <w:r/>
    </w:p>
    <w:tbl>
      <w:tblPr>
        <w:tblStyle w:val="68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2575"/>
        <w:gridCol w:w="12575"/>
      </w:tblGrid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Всемирная организация здравоохранения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ВУЗ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учебное заведение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ГИБТ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Генно-инженерные биологические препараты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ГКВД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кожно-венерологический диспансер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ГОБМП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Гарантированный объем бесплатной медицинской помощи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ДНЧР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науки и человеческих ресурсов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ДОМП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организации медицинской помощи</w:t>
            </w:r>
            <w:r/>
          </w:p>
        </w:tc>
      </w:tr>
      <w:tr>
        <w:trPr>
          <w:gridAfter w:val="1"/>
        </w:trPr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57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инвестиционной политики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ИППП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Инфекции передающиеся половым путем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Кожно-венерологический диспансер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КВЦ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Кожно-венерологический центр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КДЛ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Клинико-диагностическая лаборатория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КДУ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Консультативно-диагностические услуги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КНЦДИЗ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Республиканское предприятие на праве хозяйственного ведения «Казахский научный центр дерматологии и инфекционных заболеваний»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КП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Клинические протоколы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МЗ РК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здравоохранения Республики Казахстан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Местные исполнительные органы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НИИ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Научно-исследовательские институты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ННЦРЗ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Национальный научный центр развития здравоохранения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НПА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Нормативно-правовые акты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НЦ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Научные центры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ОВПО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высшего и (или) послевузовского образования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ОКВД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кожно-венерологический диспансер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ПМСП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Первичная медико-санитарная помощь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Проектно-сметная документация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РК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Казахстан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УЗ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здравоохранения</w:t>
            </w:r>
            <w:r/>
          </w:p>
        </w:tc>
      </w:tr>
      <w:tr>
        <w:trPr>
          <w:gridAfter w:val="1"/>
        </w:trPr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Neisseria gonorrhoeae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Возбудитель гонококковой инфекции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18:26 Жангарашева Гульнара Касеновна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21:29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21:57 Жемакишева Амина Абаевна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09:31 Касымова Алима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09:55 Изденов Асет Кайратович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16:42 Кауышева Алмагуль Амангельдиновна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18:39 Темирханов Серикболсын Темирханович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14.11.2024 16:23 Нурлыбаев Ержан Шакирович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14.11.2024 18:00.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45077557"/>
      <w:docPartObj>
        <w:docPartGallery w:val="Page Numbers (Top of Page)"/>
        <w:docPartUnique w:val="true"/>
      </w:docPartObj>
      <w:rPr/>
    </w:sdtPr>
    <w:sdtContent>
      <w:p>
        <w:pPr>
          <w:pStyle w:val="689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 xml:space="preserve">2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  <w:r/>
      </w:p>
    </w:sdtContent>
  </w:sdt>
  <w:p>
    <w:pPr>
      <w:pStyle w:val="689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Абдразак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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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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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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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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8"/>
    <w:link w:val="67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6"/>
    <w:next w:val="67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6"/>
    <w:next w:val="67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76"/>
    <w:next w:val="67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8"/>
    <w:link w:val="32"/>
    <w:uiPriority w:val="10"/>
    <w:rPr>
      <w:sz w:val="48"/>
      <w:szCs w:val="48"/>
    </w:rPr>
  </w:style>
  <w:style w:type="paragraph" w:styleId="34">
    <w:name w:val="Subtitle"/>
    <w:basedOn w:val="676"/>
    <w:next w:val="67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8"/>
    <w:link w:val="34"/>
    <w:uiPriority w:val="11"/>
    <w:rPr>
      <w:sz w:val="24"/>
      <w:szCs w:val="24"/>
    </w:rPr>
  </w:style>
  <w:style w:type="paragraph" w:styleId="36">
    <w:name w:val="Quote"/>
    <w:basedOn w:val="676"/>
    <w:next w:val="67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6"/>
    <w:next w:val="67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8"/>
    <w:link w:val="689"/>
    <w:uiPriority w:val="99"/>
  </w:style>
  <w:style w:type="character" w:styleId="43">
    <w:name w:val="Footer Char"/>
    <w:basedOn w:val="678"/>
    <w:link w:val="691"/>
    <w:uiPriority w:val="99"/>
  </w:style>
  <w:style w:type="paragraph" w:styleId="44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1"/>
    <w:uiPriority w:val="99"/>
  </w:style>
  <w:style w:type="table" w:styleId="47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8"/>
    <w:uiPriority w:val="99"/>
    <w:unhideWhenUsed/>
    <w:rPr>
      <w:vertAlign w:val="superscript"/>
    </w:rPr>
  </w:style>
  <w:style w:type="paragraph" w:styleId="176">
    <w:name w:val="endnote text"/>
    <w:basedOn w:val="67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8"/>
    <w:uiPriority w:val="99"/>
    <w:semiHidden/>
    <w:unhideWhenUsed/>
    <w:rPr>
      <w:vertAlign w:val="superscript"/>
    </w:rPr>
  </w:style>
  <w:style w:type="paragraph" w:styleId="179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paragraph" w:styleId="677">
    <w:name w:val="Heading 1"/>
    <w:basedOn w:val="676"/>
    <w:link w:val="68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Balloon Text"/>
    <w:basedOn w:val="676"/>
    <w:link w:val="68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2" w:customStyle="1">
    <w:name w:val="Текст выноски Знак"/>
    <w:basedOn w:val="678"/>
    <w:link w:val="681"/>
    <w:uiPriority w:val="99"/>
    <w:semiHidden/>
    <w:rPr>
      <w:rFonts w:ascii="Segoe UI" w:hAnsi="Segoe UI" w:cs="Segoe UI"/>
      <w:sz w:val="18"/>
      <w:szCs w:val="18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4" w:customStyle="1">
    <w:name w:val="Заголовок 1 Знак"/>
    <w:basedOn w:val="678"/>
    <w:link w:val="677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85">
    <w:name w:val="Normal (Web)"/>
    <w:basedOn w:val="67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6">
    <w:name w:val="List Paragraph"/>
    <w:basedOn w:val="67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character" w:styleId="688">
    <w:name w:val="line number"/>
    <w:basedOn w:val="678"/>
    <w:uiPriority w:val="99"/>
    <w:semiHidden/>
    <w:unhideWhenUsed/>
  </w:style>
  <w:style w:type="paragraph" w:styleId="689">
    <w:name w:val="Header"/>
    <w:basedOn w:val="676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78"/>
    <w:link w:val="689"/>
    <w:uiPriority w:val="99"/>
  </w:style>
  <w:style w:type="paragraph" w:styleId="691">
    <w:name w:val="Footer"/>
    <w:basedOn w:val="676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78"/>
    <w:link w:val="6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923" Type="http://schemas.openxmlformats.org/officeDocument/2006/relationships/image" Target="media/image923.png"/><Relationship Id="rId997" Type="http://schemas.openxmlformats.org/officeDocument/2006/relationships/footer" Target="footer1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C2ECF98-281A-43C2-9FB3-49D494C2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Джусупгалиева Марзия Хакимовна</dc:creator>
  <cp:keywords/>
  <dc:description/>
  <cp:lastModifiedBy>Абдразак Майра</cp:lastModifiedBy>
  <cp:revision>13</cp:revision>
  <dcterms:created xsi:type="dcterms:W3CDTF">2024-11-06T10:05:00Z</dcterms:created>
  <dcterms:modified xsi:type="dcterms:W3CDTF">2024-11-07T12:46:12Z</dcterms:modified>
</cp:coreProperties>
</file>