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EEF3" w14:textId="77777777" w:rsidR="0072285B" w:rsidRDefault="0072285B" w:rsidP="0072285B">
      <w:pPr>
        <w:jc w:val="center"/>
      </w:pPr>
      <w:r>
        <w:rPr>
          <w:rStyle w:val="s1"/>
        </w:rPr>
        <w:t>Клинический протокол диагностики и лечения</w:t>
      </w:r>
      <w:r>
        <w:rPr>
          <w:rStyle w:val="s1"/>
        </w:rPr>
        <w:br/>
        <w:t>«ВИЧ-инфекция у детей»</w:t>
      </w:r>
    </w:p>
    <w:p w14:paraId="4CD6AB48" w14:textId="77777777" w:rsidR="0072285B" w:rsidRDefault="0072285B" w:rsidP="0072285B">
      <w:pPr>
        <w:jc w:val="center"/>
      </w:pPr>
      <w:r>
        <w:t> </w:t>
      </w:r>
    </w:p>
    <w:p w14:paraId="6275BC2D" w14:textId="77777777" w:rsidR="0072285B" w:rsidRDefault="0072285B" w:rsidP="0072285B">
      <w:pPr>
        <w:autoSpaceDE w:val="0"/>
        <w:autoSpaceDN w:val="0"/>
        <w:ind w:firstLine="397"/>
        <w:jc w:val="center"/>
      </w:pPr>
      <w:r>
        <w:rPr>
          <w:b/>
          <w:bCs/>
        </w:rPr>
        <w:t>1. Вводная часть:</w:t>
      </w:r>
    </w:p>
    <w:p w14:paraId="59C0EE13" w14:textId="77777777" w:rsidR="0072285B" w:rsidRDefault="0072285B" w:rsidP="0072285B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597A4609" w14:textId="2D0746F2" w:rsidR="0072285B" w:rsidRPr="00B52EFF" w:rsidRDefault="0072285B" w:rsidP="00B52EFF">
      <w:pPr>
        <w:pStyle w:val="a9"/>
        <w:numPr>
          <w:ilvl w:val="1"/>
          <w:numId w:val="2"/>
        </w:numPr>
        <w:autoSpaceDE w:val="0"/>
        <w:autoSpaceDN w:val="0"/>
        <w:jc w:val="both"/>
        <w:rPr>
          <w:b/>
          <w:bCs/>
        </w:rPr>
      </w:pPr>
      <w:r w:rsidRPr="00B52EFF">
        <w:rPr>
          <w:b/>
          <w:bCs/>
        </w:rPr>
        <w:t>Коды МКБ-10: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1135"/>
        <w:gridCol w:w="9214"/>
      </w:tblGrid>
      <w:tr w:rsidR="00B52EFF" w:rsidRPr="00B52EFF" w14:paraId="639E30B5" w14:textId="77777777" w:rsidTr="003A47CD">
        <w:trPr>
          <w:trHeight w:val="375"/>
        </w:trPr>
        <w:tc>
          <w:tcPr>
            <w:tcW w:w="1135" w:type="dxa"/>
            <w:hideMark/>
          </w:tcPr>
          <w:p w14:paraId="5921D977" w14:textId="77777777" w:rsidR="00B52EFF" w:rsidRPr="00B52EFF" w:rsidRDefault="00B52EFF" w:rsidP="003A47CD">
            <w:pPr>
              <w:jc w:val="both"/>
              <w:rPr>
                <w:rFonts w:eastAsia="Times New Roman"/>
                <w:b/>
                <w:bCs/>
              </w:rPr>
            </w:pPr>
            <w:r w:rsidRPr="00B52EFF">
              <w:rPr>
                <w:rFonts w:eastAsia="Times New Roman"/>
                <w:b/>
                <w:bCs/>
              </w:rPr>
              <w:t> Код</w:t>
            </w:r>
          </w:p>
        </w:tc>
        <w:tc>
          <w:tcPr>
            <w:tcW w:w="9214" w:type="dxa"/>
            <w:hideMark/>
          </w:tcPr>
          <w:p w14:paraId="02A0886B" w14:textId="77777777" w:rsidR="00B52EFF" w:rsidRPr="00B52EFF" w:rsidRDefault="00B52EFF" w:rsidP="003A47CD">
            <w:pPr>
              <w:jc w:val="both"/>
              <w:rPr>
                <w:rFonts w:eastAsia="Times New Roman"/>
                <w:b/>
                <w:bCs/>
              </w:rPr>
            </w:pPr>
            <w:r w:rsidRPr="00B52EFF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B52EFF" w:rsidRPr="00B52EFF" w14:paraId="19A6A318" w14:textId="77777777" w:rsidTr="003A47CD">
        <w:trPr>
          <w:trHeight w:val="375"/>
        </w:trPr>
        <w:tc>
          <w:tcPr>
            <w:tcW w:w="1135" w:type="dxa"/>
          </w:tcPr>
          <w:p w14:paraId="46BF86AB" w14:textId="77777777" w:rsidR="00B52EFF" w:rsidRPr="00B52EFF" w:rsidRDefault="00B52EFF" w:rsidP="003A47CD">
            <w:pPr>
              <w:jc w:val="both"/>
              <w:rPr>
                <w:rFonts w:eastAsia="Times New Roman"/>
                <w:b/>
                <w:bCs/>
              </w:rPr>
            </w:pPr>
            <w:r w:rsidRPr="00B52EFF">
              <w:rPr>
                <w:rFonts w:eastAsia="Times New Roman"/>
                <w:b/>
                <w:bCs/>
              </w:rPr>
              <w:t>В20-24</w:t>
            </w:r>
          </w:p>
        </w:tc>
        <w:tc>
          <w:tcPr>
            <w:tcW w:w="9214" w:type="dxa"/>
          </w:tcPr>
          <w:p w14:paraId="3C9E22B7" w14:textId="77777777" w:rsidR="00B52EFF" w:rsidRPr="00B52EFF" w:rsidRDefault="00B52EFF" w:rsidP="003A47CD">
            <w:pPr>
              <w:jc w:val="both"/>
              <w:rPr>
                <w:rFonts w:eastAsia="Times New Roman"/>
                <w:b/>
                <w:bCs/>
              </w:rPr>
            </w:pPr>
            <w:r w:rsidRPr="00B52EFF">
              <w:rPr>
                <w:rFonts w:eastAsia="Times New Roman"/>
                <w:b/>
                <w:bCs/>
              </w:rPr>
              <w:t>Болезнь, вызванная вирусом иммунодефицита человека</w:t>
            </w:r>
          </w:p>
        </w:tc>
      </w:tr>
      <w:tr w:rsidR="00B52EFF" w:rsidRPr="00B52EFF" w14:paraId="794C04B3" w14:textId="77777777" w:rsidTr="003A47CD">
        <w:trPr>
          <w:trHeight w:val="417"/>
        </w:trPr>
        <w:tc>
          <w:tcPr>
            <w:tcW w:w="1135" w:type="dxa"/>
            <w:noWrap/>
            <w:hideMark/>
          </w:tcPr>
          <w:p w14:paraId="28CB96A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B20.0</w:t>
            </w:r>
          </w:p>
        </w:tc>
        <w:tc>
          <w:tcPr>
            <w:tcW w:w="9214" w:type="dxa"/>
            <w:hideMark/>
          </w:tcPr>
          <w:p w14:paraId="25604537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микобактериальной инфекции (Болезнь, вызванная ВИЧ, с проявлениями туберкулеза)</w:t>
            </w:r>
          </w:p>
        </w:tc>
      </w:tr>
      <w:tr w:rsidR="00B52EFF" w:rsidRPr="00B52EFF" w14:paraId="7BF5160A" w14:textId="77777777" w:rsidTr="003A47CD">
        <w:trPr>
          <w:trHeight w:val="310"/>
        </w:trPr>
        <w:tc>
          <w:tcPr>
            <w:tcW w:w="1135" w:type="dxa"/>
            <w:noWrap/>
            <w:hideMark/>
          </w:tcPr>
          <w:p w14:paraId="745D504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B20.1</w:t>
            </w:r>
          </w:p>
        </w:tc>
        <w:tc>
          <w:tcPr>
            <w:tcW w:w="9214" w:type="dxa"/>
            <w:hideMark/>
          </w:tcPr>
          <w:p w14:paraId="3ADE4475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бактериальных инфекций</w:t>
            </w:r>
          </w:p>
        </w:tc>
      </w:tr>
      <w:tr w:rsidR="00B52EFF" w:rsidRPr="00B52EFF" w14:paraId="38C7EA40" w14:textId="77777777" w:rsidTr="003A47CD">
        <w:trPr>
          <w:trHeight w:val="310"/>
        </w:trPr>
        <w:tc>
          <w:tcPr>
            <w:tcW w:w="1135" w:type="dxa"/>
            <w:noWrap/>
          </w:tcPr>
          <w:p w14:paraId="045B8029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В20.2</w:t>
            </w:r>
          </w:p>
        </w:tc>
        <w:tc>
          <w:tcPr>
            <w:tcW w:w="9214" w:type="dxa"/>
          </w:tcPr>
          <w:p w14:paraId="4550688E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цитомегало-вирусного заболевания</w:t>
            </w:r>
          </w:p>
        </w:tc>
      </w:tr>
      <w:tr w:rsidR="00B52EFF" w:rsidRPr="00B52EFF" w14:paraId="459064F6" w14:textId="77777777" w:rsidTr="003A47CD">
        <w:trPr>
          <w:trHeight w:val="259"/>
        </w:trPr>
        <w:tc>
          <w:tcPr>
            <w:tcW w:w="1135" w:type="dxa"/>
            <w:noWrap/>
            <w:hideMark/>
          </w:tcPr>
          <w:p w14:paraId="68726AD8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B20.3</w:t>
            </w:r>
          </w:p>
        </w:tc>
        <w:tc>
          <w:tcPr>
            <w:tcW w:w="9214" w:type="dxa"/>
            <w:hideMark/>
          </w:tcPr>
          <w:p w14:paraId="0879D942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вирусных инфекций</w:t>
            </w:r>
          </w:p>
        </w:tc>
      </w:tr>
      <w:tr w:rsidR="00B52EFF" w:rsidRPr="00B52EFF" w14:paraId="1086A598" w14:textId="77777777" w:rsidTr="003A47CD">
        <w:trPr>
          <w:trHeight w:val="315"/>
        </w:trPr>
        <w:tc>
          <w:tcPr>
            <w:tcW w:w="1135" w:type="dxa"/>
            <w:noWrap/>
            <w:hideMark/>
          </w:tcPr>
          <w:p w14:paraId="4F7DFCB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B20.4</w:t>
            </w:r>
          </w:p>
        </w:tc>
        <w:tc>
          <w:tcPr>
            <w:tcW w:w="9214" w:type="dxa"/>
            <w:hideMark/>
          </w:tcPr>
          <w:p w14:paraId="2F55FAE3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кандидоза</w:t>
            </w:r>
          </w:p>
        </w:tc>
      </w:tr>
      <w:tr w:rsidR="00B52EFF" w:rsidRPr="00B52EFF" w14:paraId="0334D022" w14:textId="77777777" w:rsidTr="003A47CD">
        <w:trPr>
          <w:trHeight w:val="315"/>
        </w:trPr>
        <w:tc>
          <w:tcPr>
            <w:tcW w:w="1135" w:type="dxa"/>
            <w:noWrap/>
          </w:tcPr>
          <w:p w14:paraId="188B6481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В20.5</w:t>
            </w:r>
          </w:p>
        </w:tc>
        <w:tc>
          <w:tcPr>
            <w:tcW w:w="9214" w:type="dxa"/>
          </w:tcPr>
          <w:p w14:paraId="369B69C1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микозов</w:t>
            </w:r>
          </w:p>
        </w:tc>
      </w:tr>
      <w:tr w:rsidR="00B52EFF" w:rsidRPr="00B52EFF" w14:paraId="382860C7" w14:textId="77777777" w:rsidTr="003A47CD">
        <w:trPr>
          <w:trHeight w:val="508"/>
        </w:trPr>
        <w:tc>
          <w:tcPr>
            <w:tcW w:w="1135" w:type="dxa"/>
            <w:noWrap/>
            <w:hideMark/>
          </w:tcPr>
          <w:p w14:paraId="1C21529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B20.6</w:t>
            </w:r>
          </w:p>
        </w:tc>
        <w:tc>
          <w:tcPr>
            <w:tcW w:w="9214" w:type="dxa"/>
            <w:hideMark/>
          </w:tcPr>
          <w:p w14:paraId="456B1599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пневмонии, вызванной Pneumocystis carinii</w:t>
            </w:r>
          </w:p>
        </w:tc>
      </w:tr>
      <w:tr w:rsidR="00B52EFF" w:rsidRPr="00B52EFF" w14:paraId="5127B107" w14:textId="77777777" w:rsidTr="003A47CD">
        <w:trPr>
          <w:trHeight w:val="508"/>
        </w:trPr>
        <w:tc>
          <w:tcPr>
            <w:tcW w:w="1135" w:type="dxa"/>
            <w:noWrap/>
          </w:tcPr>
          <w:p w14:paraId="0015961A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В20.7</w:t>
            </w:r>
          </w:p>
        </w:tc>
        <w:tc>
          <w:tcPr>
            <w:tcW w:w="9214" w:type="dxa"/>
          </w:tcPr>
          <w:p w14:paraId="572C14D2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множественных инфекций</w:t>
            </w:r>
          </w:p>
        </w:tc>
      </w:tr>
      <w:tr w:rsidR="00B52EFF" w:rsidRPr="00B52EFF" w14:paraId="2883B34A" w14:textId="77777777" w:rsidTr="003A47CD">
        <w:trPr>
          <w:trHeight w:val="630"/>
        </w:trPr>
        <w:tc>
          <w:tcPr>
            <w:tcW w:w="1135" w:type="dxa"/>
            <w:noWrap/>
            <w:hideMark/>
          </w:tcPr>
          <w:p w14:paraId="7ABF40DE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B20.8</w:t>
            </w:r>
          </w:p>
        </w:tc>
        <w:tc>
          <w:tcPr>
            <w:tcW w:w="9214" w:type="dxa"/>
            <w:hideMark/>
          </w:tcPr>
          <w:p w14:paraId="162870F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B52EFF" w:rsidRPr="00B52EFF" w14:paraId="27362A4C" w14:textId="77777777" w:rsidTr="003A47CD">
        <w:trPr>
          <w:trHeight w:val="630"/>
        </w:trPr>
        <w:tc>
          <w:tcPr>
            <w:tcW w:w="1135" w:type="dxa"/>
            <w:noWrap/>
          </w:tcPr>
          <w:p w14:paraId="5F81F0C0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В20.9</w:t>
            </w:r>
          </w:p>
        </w:tc>
        <w:tc>
          <w:tcPr>
            <w:tcW w:w="9214" w:type="dxa"/>
          </w:tcPr>
          <w:p w14:paraId="16FDF1E9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B52EFF" w:rsidRPr="00B52EFF" w14:paraId="4631D8FA" w14:textId="77777777" w:rsidTr="003A47CD">
        <w:trPr>
          <w:trHeight w:val="630"/>
        </w:trPr>
        <w:tc>
          <w:tcPr>
            <w:tcW w:w="1135" w:type="dxa"/>
            <w:noWrap/>
          </w:tcPr>
          <w:p w14:paraId="6401775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В21.0</w:t>
            </w:r>
          </w:p>
        </w:tc>
        <w:tc>
          <w:tcPr>
            <w:tcW w:w="9214" w:type="dxa"/>
          </w:tcPr>
          <w:p w14:paraId="274CBE6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саркомы Капоши</w:t>
            </w:r>
          </w:p>
        </w:tc>
      </w:tr>
      <w:tr w:rsidR="00B52EFF" w:rsidRPr="00B52EFF" w14:paraId="545D2C93" w14:textId="77777777" w:rsidTr="003A47CD">
        <w:trPr>
          <w:trHeight w:val="454"/>
        </w:trPr>
        <w:tc>
          <w:tcPr>
            <w:tcW w:w="1135" w:type="dxa"/>
            <w:hideMark/>
          </w:tcPr>
          <w:p w14:paraId="015DBAF4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B21.1</w:t>
            </w:r>
          </w:p>
        </w:tc>
        <w:tc>
          <w:tcPr>
            <w:tcW w:w="9214" w:type="dxa"/>
            <w:hideMark/>
          </w:tcPr>
          <w:p w14:paraId="03D9C4B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лимфомы Беркитта</w:t>
            </w:r>
          </w:p>
        </w:tc>
      </w:tr>
      <w:tr w:rsidR="00B52EFF" w:rsidRPr="00B52EFF" w14:paraId="23A3FF25" w14:textId="77777777" w:rsidTr="003A47CD">
        <w:trPr>
          <w:trHeight w:val="454"/>
        </w:trPr>
        <w:tc>
          <w:tcPr>
            <w:tcW w:w="1135" w:type="dxa"/>
          </w:tcPr>
          <w:p w14:paraId="1583E54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В21.2</w:t>
            </w:r>
          </w:p>
        </w:tc>
        <w:tc>
          <w:tcPr>
            <w:tcW w:w="9214" w:type="dxa"/>
          </w:tcPr>
          <w:p w14:paraId="00003954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неходжкинских лимфом</w:t>
            </w:r>
          </w:p>
        </w:tc>
      </w:tr>
      <w:tr w:rsidR="00B52EFF" w:rsidRPr="00B52EFF" w14:paraId="439B2F2C" w14:textId="77777777" w:rsidTr="003A47CD">
        <w:trPr>
          <w:trHeight w:val="454"/>
        </w:trPr>
        <w:tc>
          <w:tcPr>
            <w:tcW w:w="1135" w:type="dxa"/>
          </w:tcPr>
          <w:p w14:paraId="657FE7B0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В21.3</w:t>
            </w:r>
          </w:p>
        </w:tc>
        <w:tc>
          <w:tcPr>
            <w:tcW w:w="9214" w:type="dxa"/>
          </w:tcPr>
          <w:p w14:paraId="76E829DE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B52EFF" w:rsidRPr="00B52EFF" w14:paraId="5E4C6F09" w14:textId="77777777" w:rsidTr="003A47CD">
        <w:trPr>
          <w:trHeight w:val="454"/>
        </w:trPr>
        <w:tc>
          <w:tcPr>
            <w:tcW w:w="1135" w:type="dxa"/>
          </w:tcPr>
          <w:p w14:paraId="336D78D6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В21.7</w:t>
            </w:r>
          </w:p>
        </w:tc>
        <w:tc>
          <w:tcPr>
            <w:tcW w:w="9214" w:type="dxa"/>
          </w:tcPr>
          <w:p w14:paraId="09C17905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B52EFF" w:rsidRPr="00B52EFF" w14:paraId="01CB0F51" w14:textId="77777777" w:rsidTr="003A47CD">
        <w:trPr>
          <w:trHeight w:val="454"/>
        </w:trPr>
        <w:tc>
          <w:tcPr>
            <w:tcW w:w="1135" w:type="dxa"/>
          </w:tcPr>
          <w:p w14:paraId="354C8B48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В21.8</w:t>
            </w:r>
          </w:p>
        </w:tc>
        <w:tc>
          <w:tcPr>
            <w:tcW w:w="9214" w:type="dxa"/>
          </w:tcPr>
          <w:p w14:paraId="548808E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B52EFF" w:rsidRPr="00B52EFF" w14:paraId="2E48CC7A" w14:textId="77777777" w:rsidTr="003A47CD">
        <w:trPr>
          <w:trHeight w:val="454"/>
        </w:trPr>
        <w:tc>
          <w:tcPr>
            <w:tcW w:w="1135" w:type="dxa"/>
          </w:tcPr>
          <w:p w14:paraId="66175823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В21.9</w:t>
            </w:r>
          </w:p>
        </w:tc>
        <w:tc>
          <w:tcPr>
            <w:tcW w:w="9214" w:type="dxa"/>
          </w:tcPr>
          <w:p w14:paraId="289D1C06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B52EFF" w:rsidRPr="00B52EFF" w14:paraId="0D9CDA56" w14:textId="77777777" w:rsidTr="003A47CD">
        <w:trPr>
          <w:trHeight w:val="205"/>
        </w:trPr>
        <w:tc>
          <w:tcPr>
            <w:tcW w:w="1135" w:type="dxa"/>
            <w:noWrap/>
            <w:hideMark/>
          </w:tcPr>
          <w:p w14:paraId="39D923E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B22.0</w:t>
            </w:r>
          </w:p>
        </w:tc>
        <w:tc>
          <w:tcPr>
            <w:tcW w:w="9214" w:type="dxa"/>
            <w:hideMark/>
          </w:tcPr>
          <w:p w14:paraId="5A4469D4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энцефалопатии</w:t>
            </w:r>
          </w:p>
        </w:tc>
      </w:tr>
      <w:tr w:rsidR="00B52EFF" w:rsidRPr="00B52EFF" w14:paraId="222F23B6" w14:textId="77777777" w:rsidTr="003A47CD">
        <w:trPr>
          <w:trHeight w:val="205"/>
        </w:trPr>
        <w:tc>
          <w:tcPr>
            <w:tcW w:w="1135" w:type="dxa"/>
            <w:noWrap/>
          </w:tcPr>
          <w:p w14:paraId="5570D36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В22.1</w:t>
            </w:r>
          </w:p>
        </w:tc>
        <w:tc>
          <w:tcPr>
            <w:tcW w:w="9214" w:type="dxa"/>
          </w:tcPr>
          <w:p w14:paraId="646C1A05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B52EFF" w:rsidRPr="00B52EFF" w14:paraId="605C46F8" w14:textId="77777777" w:rsidTr="003A47CD">
        <w:trPr>
          <w:trHeight w:val="205"/>
        </w:trPr>
        <w:tc>
          <w:tcPr>
            <w:tcW w:w="1135" w:type="dxa"/>
            <w:noWrap/>
          </w:tcPr>
          <w:p w14:paraId="0579B432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В22.2</w:t>
            </w:r>
          </w:p>
        </w:tc>
        <w:tc>
          <w:tcPr>
            <w:tcW w:w="9214" w:type="dxa"/>
          </w:tcPr>
          <w:p w14:paraId="290282A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изнуряющего синдрома (с проявлениями угасания жизни; синдром резкого похудания)</w:t>
            </w:r>
          </w:p>
        </w:tc>
      </w:tr>
      <w:tr w:rsidR="00B52EFF" w:rsidRPr="00B52EFF" w14:paraId="7F309D3B" w14:textId="77777777" w:rsidTr="003A47CD">
        <w:trPr>
          <w:trHeight w:val="205"/>
        </w:trPr>
        <w:tc>
          <w:tcPr>
            <w:tcW w:w="1135" w:type="dxa"/>
            <w:noWrap/>
          </w:tcPr>
          <w:p w14:paraId="4F1B784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В22.7</w:t>
            </w:r>
          </w:p>
        </w:tc>
        <w:tc>
          <w:tcPr>
            <w:tcW w:w="9214" w:type="dxa"/>
          </w:tcPr>
          <w:p w14:paraId="6BE30480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B52EFF" w:rsidRPr="00B52EFF" w14:paraId="4765DDF7" w14:textId="77777777" w:rsidTr="003A47CD">
        <w:trPr>
          <w:trHeight w:val="315"/>
        </w:trPr>
        <w:tc>
          <w:tcPr>
            <w:tcW w:w="1135" w:type="dxa"/>
            <w:noWrap/>
            <w:hideMark/>
          </w:tcPr>
          <w:p w14:paraId="070CCEA8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B23.0</w:t>
            </w:r>
          </w:p>
        </w:tc>
        <w:tc>
          <w:tcPr>
            <w:tcW w:w="9214" w:type="dxa"/>
            <w:hideMark/>
          </w:tcPr>
          <w:p w14:paraId="1160BE01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Острый ВИЧ-инфекционный синдром</w:t>
            </w:r>
          </w:p>
        </w:tc>
      </w:tr>
      <w:tr w:rsidR="00B52EFF" w:rsidRPr="00B52EFF" w14:paraId="11CBBDBC" w14:textId="77777777" w:rsidTr="003A47CD">
        <w:trPr>
          <w:trHeight w:val="315"/>
        </w:trPr>
        <w:tc>
          <w:tcPr>
            <w:tcW w:w="1135" w:type="dxa"/>
            <w:noWrap/>
          </w:tcPr>
          <w:p w14:paraId="2A013003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В23.1</w:t>
            </w:r>
          </w:p>
        </w:tc>
        <w:tc>
          <w:tcPr>
            <w:tcW w:w="9214" w:type="dxa"/>
          </w:tcPr>
          <w:p w14:paraId="0A9BB06B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(персистентной) генерализованной лимфаденопатии</w:t>
            </w:r>
          </w:p>
        </w:tc>
      </w:tr>
      <w:tr w:rsidR="00B52EFF" w:rsidRPr="00B52EFF" w14:paraId="0450D062" w14:textId="77777777" w:rsidTr="003A47CD">
        <w:trPr>
          <w:trHeight w:val="315"/>
        </w:trPr>
        <w:tc>
          <w:tcPr>
            <w:tcW w:w="1135" w:type="dxa"/>
            <w:noWrap/>
          </w:tcPr>
          <w:p w14:paraId="503A8600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В23.2</w:t>
            </w:r>
          </w:p>
        </w:tc>
        <w:tc>
          <w:tcPr>
            <w:tcW w:w="9214" w:type="dxa"/>
          </w:tcPr>
          <w:p w14:paraId="70338A62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B52EFF" w:rsidRPr="00B52EFF" w14:paraId="65CA50C5" w14:textId="77777777" w:rsidTr="003A47CD">
        <w:trPr>
          <w:trHeight w:val="367"/>
        </w:trPr>
        <w:tc>
          <w:tcPr>
            <w:tcW w:w="1135" w:type="dxa"/>
            <w:noWrap/>
            <w:hideMark/>
          </w:tcPr>
          <w:p w14:paraId="2B56FFF7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B23.8</w:t>
            </w:r>
          </w:p>
        </w:tc>
        <w:tc>
          <w:tcPr>
            <w:tcW w:w="9214" w:type="dxa"/>
            <w:hideMark/>
          </w:tcPr>
          <w:p w14:paraId="43A681B2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ВИЧ, с проявлениями других уточненных состояний</w:t>
            </w:r>
          </w:p>
        </w:tc>
      </w:tr>
      <w:tr w:rsidR="00B52EFF" w:rsidRPr="00B52EFF" w14:paraId="47AAA26E" w14:textId="77777777" w:rsidTr="003A47CD">
        <w:trPr>
          <w:trHeight w:val="359"/>
        </w:trPr>
        <w:tc>
          <w:tcPr>
            <w:tcW w:w="1135" w:type="dxa"/>
            <w:hideMark/>
          </w:tcPr>
          <w:p w14:paraId="1D897DDE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lastRenderedPageBreak/>
              <w:t>B24</w:t>
            </w:r>
          </w:p>
        </w:tc>
        <w:tc>
          <w:tcPr>
            <w:tcW w:w="9214" w:type="dxa"/>
            <w:hideMark/>
          </w:tcPr>
          <w:p w14:paraId="3EAE817E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вирусом иммунодефицита человека (ВИЧ), неуточненная (синдром приобретенного иммунодефицита; СПИД-ассоциированный комплекс)</w:t>
            </w:r>
          </w:p>
        </w:tc>
      </w:tr>
      <w:tr w:rsidR="00B52EFF" w:rsidRPr="00B52EFF" w14:paraId="5930E93A" w14:textId="77777777" w:rsidTr="003A47CD">
        <w:trPr>
          <w:trHeight w:val="359"/>
        </w:trPr>
        <w:tc>
          <w:tcPr>
            <w:tcW w:w="1135" w:type="dxa"/>
          </w:tcPr>
          <w:p w14:paraId="78261FC3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О98.7</w:t>
            </w:r>
          </w:p>
        </w:tc>
        <w:tc>
          <w:tcPr>
            <w:tcW w:w="9214" w:type="dxa"/>
          </w:tcPr>
          <w:p w14:paraId="699D78D1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Болезнь, вызванная вирусом иммунодефицита человека [ВИЧ], осложняющая беременность, роды и послеродовой период</w:t>
            </w:r>
          </w:p>
        </w:tc>
      </w:tr>
      <w:tr w:rsidR="00B52EFF" w:rsidRPr="00B52EFF" w14:paraId="28AAD3D0" w14:textId="77777777" w:rsidTr="003A47CD">
        <w:trPr>
          <w:trHeight w:val="359"/>
        </w:trPr>
        <w:tc>
          <w:tcPr>
            <w:tcW w:w="1135" w:type="dxa"/>
          </w:tcPr>
          <w:p w14:paraId="44704736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R75</w:t>
            </w:r>
          </w:p>
        </w:tc>
        <w:tc>
          <w:tcPr>
            <w:tcW w:w="9214" w:type="dxa"/>
          </w:tcPr>
          <w:p w14:paraId="2268C719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Лабораторное обнаружение вируса иммунодефицита человека [ВИЧ] (неокончательный тест на ВИЧ, выявленный у детей)</w:t>
            </w:r>
          </w:p>
        </w:tc>
      </w:tr>
      <w:tr w:rsidR="00B52EFF" w:rsidRPr="00B52EFF" w14:paraId="4A00B39D" w14:textId="77777777" w:rsidTr="003A47CD">
        <w:trPr>
          <w:trHeight w:val="359"/>
        </w:trPr>
        <w:tc>
          <w:tcPr>
            <w:tcW w:w="1135" w:type="dxa"/>
          </w:tcPr>
          <w:p w14:paraId="3C8CA236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Z20.1</w:t>
            </w:r>
          </w:p>
        </w:tc>
        <w:tc>
          <w:tcPr>
            <w:tcW w:w="9214" w:type="dxa"/>
          </w:tcPr>
          <w:p w14:paraId="7A37CEA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Контакт с больным и возможность заражения туберкулезом</w:t>
            </w:r>
          </w:p>
        </w:tc>
      </w:tr>
      <w:tr w:rsidR="00B52EFF" w:rsidRPr="00B52EFF" w14:paraId="072812FB" w14:textId="77777777" w:rsidTr="003A47CD">
        <w:trPr>
          <w:trHeight w:val="359"/>
        </w:trPr>
        <w:tc>
          <w:tcPr>
            <w:tcW w:w="1135" w:type="dxa"/>
          </w:tcPr>
          <w:p w14:paraId="17F7761D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Z20.6</w:t>
            </w:r>
          </w:p>
        </w:tc>
        <w:tc>
          <w:tcPr>
            <w:tcW w:w="9214" w:type="dxa"/>
          </w:tcPr>
          <w:p w14:paraId="0B7AF57A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Контакт с больным и возможность заражения вирусом иммунодефицита человека [ВИЧ]</w:t>
            </w:r>
          </w:p>
        </w:tc>
      </w:tr>
      <w:tr w:rsidR="00B52EFF" w:rsidRPr="00B52EFF" w14:paraId="73D5479A" w14:textId="77777777" w:rsidTr="003A47CD">
        <w:trPr>
          <w:trHeight w:val="359"/>
        </w:trPr>
        <w:tc>
          <w:tcPr>
            <w:tcW w:w="1135" w:type="dxa"/>
          </w:tcPr>
          <w:p w14:paraId="276CC981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Z21</w:t>
            </w:r>
          </w:p>
        </w:tc>
        <w:tc>
          <w:tcPr>
            <w:tcW w:w="9214" w:type="dxa"/>
          </w:tcPr>
          <w:p w14:paraId="137B14A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Бессимптомный инфекционный статус, вызванный вирусом иммунодефицита человека [ВИЧ]</w:t>
            </w:r>
          </w:p>
        </w:tc>
      </w:tr>
      <w:tr w:rsidR="00B52EFF" w:rsidRPr="00B52EFF" w14:paraId="121D85C3" w14:textId="77777777" w:rsidTr="003A47CD">
        <w:trPr>
          <w:trHeight w:val="359"/>
        </w:trPr>
        <w:tc>
          <w:tcPr>
            <w:tcW w:w="1135" w:type="dxa"/>
          </w:tcPr>
          <w:p w14:paraId="5828CA77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Z29.2</w:t>
            </w:r>
          </w:p>
        </w:tc>
        <w:tc>
          <w:tcPr>
            <w:tcW w:w="9214" w:type="dxa"/>
          </w:tcPr>
          <w:p w14:paraId="2FEC2A3F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Другой вид профилактической химиотерапии</w:t>
            </w:r>
          </w:p>
        </w:tc>
      </w:tr>
      <w:tr w:rsidR="00B52EFF" w:rsidRPr="00B52EFF" w14:paraId="49472860" w14:textId="77777777" w:rsidTr="003A47CD">
        <w:trPr>
          <w:trHeight w:val="359"/>
        </w:trPr>
        <w:tc>
          <w:tcPr>
            <w:tcW w:w="1135" w:type="dxa"/>
          </w:tcPr>
          <w:p w14:paraId="11A13946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Z29.8</w:t>
            </w:r>
          </w:p>
        </w:tc>
        <w:tc>
          <w:tcPr>
            <w:tcW w:w="9214" w:type="dxa"/>
          </w:tcPr>
          <w:p w14:paraId="711EE514" w14:textId="77777777" w:rsidR="00B52EFF" w:rsidRPr="00B52EFF" w:rsidRDefault="00B52EFF" w:rsidP="003A47CD">
            <w:pPr>
              <w:jc w:val="both"/>
              <w:rPr>
                <w:rFonts w:eastAsia="Times New Roman"/>
              </w:rPr>
            </w:pPr>
            <w:r w:rsidRPr="00B52EFF">
              <w:rPr>
                <w:rFonts w:eastAsia="Times New Roman"/>
              </w:rPr>
              <w:t>Другие уточненные профилактические меры</w:t>
            </w:r>
          </w:p>
        </w:tc>
      </w:tr>
    </w:tbl>
    <w:p w14:paraId="7CAA518B" w14:textId="77777777" w:rsidR="00B52EFF" w:rsidRDefault="00B52EFF" w:rsidP="00B52EFF">
      <w:pPr>
        <w:pStyle w:val="a9"/>
        <w:autoSpaceDE w:val="0"/>
        <w:autoSpaceDN w:val="0"/>
        <w:ind w:left="757"/>
        <w:jc w:val="both"/>
      </w:pPr>
    </w:p>
    <w:p w14:paraId="529F1867" w14:textId="1F05538A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1.2 Дата разработки/пересмотра протокола:</w:t>
      </w:r>
      <w:r>
        <w:t xml:space="preserve"> 2022 год.</w:t>
      </w:r>
    </w:p>
    <w:p w14:paraId="3C781A0F" w14:textId="77777777" w:rsidR="0072285B" w:rsidRDefault="0072285B" w:rsidP="0072285B">
      <w:pPr>
        <w:jc w:val="both"/>
      </w:pPr>
      <w:r>
        <w:rPr>
          <w:rStyle w:val="s3"/>
        </w:rPr>
        <w:t xml:space="preserve">См. </w:t>
      </w:r>
      <w:hyperlink r:id="rId7" w:history="1">
        <w:r>
          <w:rPr>
            <w:rStyle w:val="a3"/>
            <w:i/>
            <w:iCs/>
          </w:rPr>
          <w:t>протокол</w:t>
        </w:r>
      </w:hyperlink>
      <w:r>
        <w:rPr>
          <w:rStyle w:val="s3"/>
        </w:rPr>
        <w:t xml:space="preserve"> за 2020 год</w:t>
      </w:r>
    </w:p>
    <w:p w14:paraId="668C87D7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1.3 Сокращения, используемые в протоколе: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8308"/>
      </w:tblGrid>
      <w:tr w:rsidR="0072285B" w14:paraId="6841BEC3" w14:textId="77777777" w:rsidTr="00FF409B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FB0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АлАТ</w:t>
            </w:r>
          </w:p>
        </w:tc>
        <w:tc>
          <w:tcPr>
            <w:tcW w:w="4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652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Аланинаминотрансфераза.</w:t>
            </w:r>
          </w:p>
        </w:tc>
      </w:tr>
      <w:tr w:rsidR="0072285B" w14:paraId="3209FE2D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30E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АРВП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131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Антиретровирусный препарат.</w:t>
            </w:r>
          </w:p>
        </w:tc>
      </w:tr>
      <w:tr w:rsidR="0072285B" w14:paraId="711D00DE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D87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APT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32F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Антиретровирусная терапия.</w:t>
            </w:r>
          </w:p>
        </w:tc>
      </w:tr>
      <w:tr w:rsidR="0072285B" w14:paraId="6BE10A8D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432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АсАТ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3D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Аспартатаминотрансфераза.</w:t>
            </w:r>
          </w:p>
        </w:tc>
      </w:tr>
      <w:tr w:rsidR="0072285B" w14:paraId="61CF95F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BAB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БК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1D7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Бактериоскопическое исследование мокроты.</w:t>
            </w:r>
          </w:p>
        </w:tc>
      </w:tr>
      <w:tr w:rsidR="0072285B" w14:paraId="1C18BD85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53F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ВГБ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2B8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Вирус гепатита </w:t>
            </w:r>
            <w:r>
              <w:rPr>
                <w:lang w:val="en-US"/>
              </w:rPr>
              <w:t>d</w:t>
            </w:r>
            <w:r>
              <w:t>.</w:t>
            </w:r>
          </w:p>
        </w:tc>
      </w:tr>
      <w:tr w:rsidR="0072285B" w14:paraId="76563464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5FF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ВГВ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9AD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Вирус гепатита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72285B" w14:paraId="09AF8DA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D2D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ВГС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8AB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Вирус гепатита с.</w:t>
            </w:r>
          </w:p>
        </w:tc>
      </w:tr>
      <w:tr w:rsidR="0072285B" w14:paraId="6846B2D0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894D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ВИЧ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20F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Вирус иммунодефицита человека.</w:t>
            </w:r>
          </w:p>
        </w:tc>
      </w:tr>
      <w:tr w:rsidR="0072285B" w14:paraId="345AFAD7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B9A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ВН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A25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Вирусная нагрузка.</w:t>
            </w:r>
          </w:p>
        </w:tc>
      </w:tr>
      <w:tr w:rsidR="0072285B" w14:paraId="07A419C0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EC4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ВСВИ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9E3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Воспалительный синдром восстановления иммунитета.</w:t>
            </w:r>
          </w:p>
        </w:tc>
      </w:tr>
      <w:tr w:rsidR="0072285B" w14:paraId="1218B6A9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85D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ДНК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273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Дезоксирибонуклеиновая кислота.</w:t>
            </w:r>
          </w:p>
        </w:tc>
      </w:tr>
      <w:tr w:rsidR="0072285B" w14:paraId="69135D11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3C1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ЖКТ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689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Желудочно-кишечный тракт.</w:t>
            </w:r>
          </w:p>
        </w:tc>
      </w:tr>
      <w:tr w:rsidR="0072285B" w14:paraId="494CE073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4AD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ИБ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EE2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Иммунный блоттинг.</w:t>
            </w:r>
          </w:p>
        </w:tc>
      </w:tr>
      <w:tr w:rsidR="0072285B" w14:paraId="4FE761F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81E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ИБС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6AD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Ишемическая болезнь сердца.</w:t>
            </w:r>
          </w:p>
        </w:tc>
      </w:tr>
      <w:tr w:rsidR="0072285B" w14:paraId="3F7EBD0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58F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DF3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Ингибиторы интегразы.</w:t>
            </w:r>
          </w:p>
        </w:tc>
      </w:tr>
      <w:tr w:rsidR="0072285B" w14:paraId="34326034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DDE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D21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Ингибиторы протеазы.</w:t>
            </w:r>
          </w:p>
        </w:tc>
      </w:tr>
      <w:tr w:rsidR="0072285B" w14:paraId="775EDD3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712D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ИППП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8D5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Инфекции, передаваемые половым путем.</w:t>
            </w:r>
          </w:p>
        </w:tc>
      </w:tr>
      <w:tr w:rsidR="0072285B" w14:paraId="2137D36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265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552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Ингибитор слияния.</w:t>
            </w:r>
          </w:p>
        </w:tc>
      </w:tr>
      <w:tr w:rsidR="0072285B" w14:paraId="008A942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701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ИФА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90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Иммуноферментный анализ.</w:t>
            </w:r>
          </w:p>
        </w:tc>
      </w:tr>
      <w:tr w:rsidR="0072285B" w14:paraId="69D82DD9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F6E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ИХА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1DF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Иммунохроматографический анализ.</w:t>
            </w:r>
          </w:p>
        </w:tc>
      </w:tr>
      <w:tr w:rsidR="0072285B" w14:paraId="75C2F6BC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C2C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ИХЛА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800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Иммунохемилюминесцентный анализ.</w:t>
            </w:r>
          </w:p>
        </w:tc>
      </w:tr>
      <w:tr w:rsidR="0072285B" w14:paraId="01DF4728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900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КТ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D8A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Компьютерная томография.</w:t>
            </w:r>
          </w:p>
        </w:tc>
      </w:tr>
      <w:tr w:rsidR="0072285B" w14:paraId="28427308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88F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ЛЖВ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72B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Люди, живущие с ВИЧ (ВИЧ - инфицированные).</w:t>
            </w:r>
          </w:p>
        </w:tc>
      </w:tr>
      <w:tr w:rsidR="0072285B" w14:paraId="5E6AEFA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B54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ЛПВП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43B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Липопротеины высокой плотности.</w:t>
            </w:r>
          </w:p>
        </w:tc>
      </w:tr>
      <w:tr w:rsidR="0072285B" w14:paraId="550D9214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105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ЛИНИ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AD9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Липопротеины низкой плотности.</w:t>
            </w:r>
          </w:p>
        </w:tc>
      </w:tr>
      <w:tr w:rsidR="0072285B" w14:paraId="3A446221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F38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МАК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D82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Микобактериум авиум комплекс.</w:t>
            </w:r>
          </w:p>
        </w:tc>
      </w:tr>
      <w:tr w:rsidR="0072285B" w14:paraId="184045A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5F8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МНИ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D28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Международное непатентованное наименование.</w:t>
            </w:r>
          </w:p>
        </w:tc>
      </w:tr>
      <w:tr w:rsidR="0072285B" w14:paraId="3A3C0093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78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МРТ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C56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Магнитно-резонансная томография.</w:t>
            </w:r>
          </w:p>
        </w:tc>
      </w:tr>
      <w:tr w:rsidR="0072285B" w14:paraId="0B2BAB5C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EBA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НИОТ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673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Нуклеозидные/нуклеотидные ингибиторы обратной транскриптазы.</w:t>
            </w:r>
          </w:p>
        </w:tc>
      </w:tr>
      <w:tr w:rsidR="0072285B" w14:paraId="2F965766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9DF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ННИОТ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149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Ненуклеозидные ингибиторы обратной транскриптазы.</w:t>
            </w:r>
          </w:p>
        </w:tc>
      </w:tr>
      <w:tr w:rsidR="0072285B" w14:paraId="7597EC34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BCD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OAK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8DA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Общий анализ крови.</w:t>
            </w:r>
          </w:p>
        </w:tc>
      </w:tr>
      <w:tr w:rsidR="0072285B" w14:paraId="067B0510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763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ОАМ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B2A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Общий анализ мочи.</w:t>
            </w:r>
          </w:p>
        </w:tc>
      </w:tr>
      <w:tr w:rsidR="0072285B" w14:paraId="4A088703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53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lastRenderedPageBreak/>
              <w:t>ОИ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97A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Оппортунистические инфекции.</w:t>
            </w:r>
          </w:p>
        </w:tc>
      </w:tr>
      <w:tr w:rsidR="0072285B" w14:paraId="749A5BD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5CA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ОПП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2EFD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Острая почечная недостаточность.</w:t>
            </w:r>
          </w:p>
        </w:tc>
      </w:tr>
      <w:tr w:rsidR="0072285B" w14:paraId="01A17B5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A00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ПМЛ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DA5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Прогрессирующая многоочаговая лейкоэнцефалопатия.</w:t>
            </w:r>
          </w:p>
        </w:tc>
      </w:tr>
      <w:tr w:rsidR="0072285B" w14:paraId="03DE513E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B21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ПМСП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B44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Первичная медико-санитарная помощь.</w:t>
            </w:r>
          </w:p>
        </w:tc>
      </w:tr>
      <w:tr w:rsidR="0072285B" w14:paraId="683D789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650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ПЦР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BB0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Полимеразная цепная реакция.</w:t>
            </w:r>
          </w:p>
        </w:tc>
      </w:tr>
      <w:tr w:rsidR="0072285B" w14:paraId="714217EC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596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пДНК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D47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Провирусная ДНК.</w:t>
            </w:r>
          </w:p>
        </w:tc>
      </w:tr>
      <w:tr w:rsidR="0072285B" w14:paraId="276F7BE1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9D2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РИГА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0D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Реакция непрямой гемагглютинации.</w:t>
            </w:r>
          </w:p>
        </w:tc>
      </w:tr>
      <w:tr w:rsidR="0072285B" w14:paraId="203074E8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1D0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РНК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BCB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Рибонуклеиновая кислота.</w:t>
            </w:r>
          </w:p>
        </w:tc>
      </w:tr>
      <w:tr w:rsidR="0072285B" w14:paraId="08748C7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9E6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СПИД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CEA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Синдром приобретенного иммунодефицита.</w:t>
            </w:r>
          </w:p>
        </w:tc>
      </w:tr>
      <w:tr w:rsidR="0072285B" w14:paraId="3C5F159C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AD5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УД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61E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Уровень доказательности.</w:t>
            </w:r>
          </w:p>
        </w:tc>
      </w:tr>
      <w:tr w:rsidR="0072285B" w14:paraId="7FFFE4B6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DAD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УЗИ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236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Ультразвуковое исследование.</w:t>
            </w:r>
          </w:p>
        </w:tc>
      </w:tr>
      <w:tr w:rsidR="0072285B" w14:paraId="24ABE6F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0B5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ФГДС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A76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Фиброгастродуоденоскопия.</w:t>
            </w:r>
          </w:p>
        </w:tc>
      </w:tr>
      <w:tr w:rsidR="0072285B" w14:paraId="638BF0EE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90B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ЦМВ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97C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Цитомегаловирус.</w:t>
            </w:r>
          </w:p>
        </w:tc>
      </w:tr>
      <w:tr w:rsidR="0072285B" w14:paraId="7369CD91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BE6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ЦНС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CE3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Центральная нервная система.</w:t>
            </w:r>
          </w:p>
        </w:tc>
      </w:tr>
      <w:tr w:rsidR="0072285B" w14:paraId="6D5F9487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347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ЭКГ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0F7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Электрокардиограмма, электрокардиография.</w:t>
            </w:r>
          </w:p>
        </w:tc>
      </w:tr>
      <w:tr w:rsidR="0072285B" w14:paraId="2A6906CC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F28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3ТС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3B9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Ламивудин.</w:t>
            </w:r>
          </w:p>
        </w:tc>
      </w:tr>
      <w:tr w:rsidR="0072285B" w14:paraId="53C1EF9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974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 (ZDV)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559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Зидовудин.</w:t>
            </w:r>
          </w:p>
        </w:tc>
      </w:tr>
      <w:tr w:rsidR="0072285B" w14:paraId="62BF8656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CE0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79C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Абакавир.</w:t>
            </w:r>
          </w:p>
        </w:tc>
      </w:tr>
      <w:tr w:rsidR="0072285B" w14:paraId="01B14D88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7B6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BIC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7A1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Биктегравир.</w:t>
            </w:r>
          </w:p>
        </w:tc>
      </w:tr>
      <w:tr w:rsidR="0072285B" w14:paraId="3AFA940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073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944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Дарунавир.</w:t>
            </w:r>
          </w:p>
        </w:tc>
      </w:tr>
      <w:tr w:rsidR="0072285B" w14:paraId="0C5C84C5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4B48" w14:textId="77777777" w:rsidR="0072285B" w:rsidRPr="00153CF3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DRV/</w:t>
            </w:r>
            <w:r>
              <w:t>с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E19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Дарунавир, бустированный комбицистат.</w:t>
            </w:r>
          </w:p>
        </w:tc>
      </w:tr>
      <w:tr w:rsidR="0072285B" w14:paraId="635C3DDE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2E2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EEB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Долутегравир.</w:t>
            </w:r>
          </w:p>
        </w:tc>
      </w:tr>
      <w:tr w:rsidR="0072285B" w14:paraId="4817A7C9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67D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EFV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203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Эфавиренз.</w:t>
            </w:r>
          </w:p>
        </w:tc>
      </w:tr>
      <w:tr w:rsidR="0072285B" w14:paraId="4CD14133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A0B6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ETV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460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Этравирин.</w:t>
            </w:r>
          </w:p>
        </w:tc>
      </w:tr>
      <w:tr w:rsidR="0072285B" w14:paraId="38A63D9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266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FTC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43C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Эмтрицитабин.</w:t>
            </w:r>
          </w:p>
        </w:tc>
      </w:tr>
      <w:tr w:rsidR="0072285B" w14:paraId="1AFDBE47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423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HBcAg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23B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Ядерный антиген вируса гепатита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72285B" w14:paraId="5A583ED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B2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HBsAg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B9D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Поверхностный антиген вируса гепатита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72285B" w14:paraId="41025393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EB7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HLA-B*5701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DA4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Аллель 5701 локуса </w:t>
            </w:r>
            <w:r>
              <w:rPr>
                <w:lang w:val="en-US"/>
              </w:rPr>
              <w:t>b</w:t>
            </w:r>
            <w:r>
              <w:t>главного комплекса гистосовместимости человека.</w:t>
            </w:r>
          </w:p>
        </w:tc>
      </w:tr>
      <w:tr w:rsidR="0072285B" w14:paraId="772FB56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109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IgG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15D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Иммуноглобулин </w:t>
            </w:r>
            <w:r>
              <w:rPr>
                <w:lang w:val="en-US"/>
              </w:rPr>
              <w:t>G</w:t>
            </w:r>
            <w:r>
              <w:t>.</w:t>
            </w:r>
          </w:p>
        </w:tc>
      </w:tr>
      <w:tr w:rsidR="0072285B" w14:paraId="303800F7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9B5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IgM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5D5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Иммуноглобулин </w:t>
            </w:r>
            <w:r>
              <w:rPr>
                <w:lang w:val="en-US"/>
              </w:rPr>
              <w:t>M</w:t>
            </w:r>
            <w:r>
              <w:t>.</w:t>
            </w:r>
          </w:p>
        </w:tc>
      </w:tr>
      <w:tr w:rsidR="0072285B" w14:paraId="48340E9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D13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LPV/r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B10D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Лопинавир, бустированный ритонавиром.</w:t>
            </w:r>
          </w:p>
        </w:tc>
      </w:tr>
      <w:tr w:rsidR="0072285B" w14:paraId="63547DCF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CDD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MTB/RIF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8AE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Быстрый молекулярный тест для выявления микобактерии туберкулеза, а также мутации, указывающие на устойчивость к рифампицину.</w:t>
            </w:r>
          </w:p>
        </w:tc>
      </w:tr>
      <w:tr w:rsidR="0072285B" w14:paraId="4035C48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498A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MVC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F6B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Антагонист хемокиновых рецепторов </w:t>
            </w:r>
            <w:r>
              <w:rPr>
                <w:lang w:val="en-US"/>
              </w:rPr>
              <w:t>CCR</w:t>
            </w:r>
            <w:r>
              <w:t>-5 - маравирок.</w:t>
            </w:r>
          </w:p>
        </w:tc>
      </w:tr>
      <w:tr w:rsidR="0072285B" w14:paraId="515E3864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B7D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NVP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F83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Невирапин.</w:t>
            </w:r>
          </w:p>
        </w:tc>
      </w:tr>
      <w:tr w:rsidR="0072285B" w14:paraId="7A0776AB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345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RAL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AEB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Ралтегравир.</w:t>
            </w:r>
          </w:p>
        </w:tc>
      </w:tr>
      <w:tr w:rsidR="0072285B" w14:paraId="2C1D74E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6B1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RTV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493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Ритонавир.</w:t>
            </w:r>
          </w:p>
        </w:tc>
      </w:tr>
      <w:tr w:rsidR="0072285B" w14:paraId="10785FA2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AE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RPV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00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Рилпивирин.</w:t>
            </w:r>
          </w:p>
        </w:tc>
      </w:tr>
      <w:tr w:rsidR="0072285B" w14:paraId="011D2FDA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77E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TDF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DA8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Тенофовир.</w:t>
            </w:r>
          </w:p>
        </w:tc>
      </w:tr>
      <w:tr w:rsidR="0072285B" w14:paraId="0D4C8661" w14:textId="77777777" w:rsidTr="00FF409B"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7F6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TAF</w:t>
            </w:r>
          </w:p>
        </w:tc>
        <w:tc>
          <w:tcPr>
            <w:tcW w:w="4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AD7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Тенофовира алафенамид.</w:t>
            </w:r>
          </w:p>
        </w:tc>
      </w:tr>
    </w:tbl>
    <w:p w14:paraId="7A64F5C3" w14:textId="0C6D0C6F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1.4 Пользователи протокола:</w:t>
      </w:r>
      <w:r>
        <w:t xml:space="preserve"> врачи инфекционисты, неонатологи, педиатры, врачи общей практики, фтизиатры, акушеры-гинекологи, пульмонологи, кардиолог, нефролог, дерматовенеролог, гастроэнтерологи, неврологи, клинические фармакологи, </w:t>
      </w:r>
      <w:r w:rsidR="00D44FB4">
        <w:t>врачи-лаборанты</w:t>
      </w:r>
      <w:r>
        <w:t>.</w:t>
      </w:r>
    </w:p>
    <w:p w14:paraId="0E352E22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1.5 Категория пациентов:</w:t>
      </w:r>
      <w:r>
        <w:t xml:space="preserve"> дети.</w:t>
      </w:r>
    </w:p>
    <w:p w14:paraId="29377E3C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1.6 Шкала уровня доказательности: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8807"/>
      </w:tblGrid>
      <w:tr w:rsidR="0072285B" w14:paraId="3DEC16CA" w14:textId="77777777" w:rsidTr="00FF409B"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FC22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4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676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 которых могут быть распространены на соответствующую популяцию.</w:t>
            </w:r>
          </w:p>
        </w:tc>
      </w:tr>
      <w:tr w:rsidR="0072285B" w14:paraId="288E1F4F" w14:textId="77777777" w:rsidTr="00FF409B"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0FBD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7CA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Высококачественный (++) систематический обзор когортных или исследований случай-контроль или Высококачественное (++) когортное или исследований </w:t>
            </w:r>
            <w:r>
              <w:lastRenderedPageBreak/>
              <w:t>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72285B" w14:paraId="44FAD3B1" w14:textId="77777777" w:rsidTr="00FF409B"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F137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lastRenderedPageBreak/>
              <w:t>С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AAD1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Когортное или исследование случай-контроль или контролируемое исследование без рандомизации с невысоким риском систематической ошибки (+),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72285B" w14:paraId="69167229" w14:textId="77777777" w:rsidTr="00FF409B"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F6E1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14D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Описание серии случаев или неконтролируемое исследование или мнение экспертов.</w:t>
            </w:r>
          </w:p>
        </w:tc>
      </w:tr>
    </w:tbl>
    <w:p w14:paraId="221EDDD6" w14:textId="77777777" w:rsidR="0072285B" w:rsidRDefault="0072285B" w:rsidP="0072285B">
      <w:pPr>
        <w:autoSpaceDE w:val="0"/>
        <w:autoSpaceDN w:val="0"/>
        <w:ind w:firstLine="397"/>
        <w:jc w:val="both"/>
        <w:rPr>
          <w:b/>
          <w:bCs/>
        </w:rPr>
      </w:pPr>
    </w:p>
    <w:p w14:paraId="379D1175" w14:textId="46C8D84D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1.7 Определение: </w:t>
      </w:r>
    </w:p>
    <w:p w14:paraId="1FB38082" w14:textId="0CD5C5D6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ВИЧ-инфекция</w:t>
      </w:r>
      <w:r>
        <w:t xml:space="preserve"> - </w:t>
      </w:r>
      <w:r w:rsidR="00D44FB4">
        <w:t xml:space="preserve">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 </w:t>
      </w:r>
      <w:r>
        <w:t>[1].</w:t>
      </w:r>
    </w:p>
    <w:p w14:paraId="4455CE3F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1.8 Классификация</w:t>
      </w:r>
      <w:r>
        <w:t xml:space="preserve"> [2]:</w:t>
      </w:r>
    </w:p>
    <w:p w14:paraId="2AD62A9E" w14:textId="77777777" w:rsidR="0072285B" w:rsidRDefault="0072285B" w:rsidP="0072285B">
      <w:pPr>
        <w:autoSpaceDE w:val="0"/>
        <w:autoSpaceDN w:val="0"/>
        <w:ind w:firstLine="397"/>
        <w:jc w:val="both"/>
      </w:pPr>
      <w:r>
        <w:t xml:space="preserve">Клинические стадии ВИЧ-инфекции по классификации ВОЗ у детей. </w:t>
      </w:r>
    </w:p>
    <w:p w14:paraId="752DC02B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Клиническая стадия 1:</w:t>
      </w:r>
    </w:p>
    <w:p w14:paraId="77322A7A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бессимптомное течение;</w:t>
      </w:r>
    </w:p>
    <w:p w14:paraId="5A948A12" w14:textId="77777777" w:rsidR="0072285B" w:rsidRDefault="0072285B" w:rsidP="0072285B">
      <w:pPr>
        <w:autoSpaceDE w:val="0"/>
        <w:autoSpaceDN w:val="0"/>
        <w:ind w:firstLine="397"/>
        <w:jc w:val="both"/>
      </w:pPr>
      <w:r>
        <w:t xml:space="preserve">- персистирующая генерализованная лимфаденопатия. </w:t>
      </w:r>
    </w:p>
    <w:p w14:paraId="0F81C935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Клиническая стадия 2:</w:t>
      </w:r>
    </w:p>
    <w:p w14:paraId="0110A29E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персистирующая гепатоспленомегалия неясного происхождения;</w:t>
      </w:r>
    </w:p>
    <w:p w14:paraId="763B28E3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зудящая папулезная сыпь;</w:t>
      </w:r>
    </w:p>
    <w:p w14:paraId="569C9416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распространенная инфекция, вызванная вирусом папилломы человека (множественные бородавки);</w:t>
      </w:r>
    </w:p>
    <w:p w14:paraId="4FE9EC8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распространенный моллюск;</w:t>
      </w:r>
    </w:p>
    <w:p w14:paraId="5C23DD6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онихомикозы;</w:t>
      </w:r>
    </w:p>
    <w:p w14:paraId="66F14A2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рецидивирующие язвы на слизистой оболочке полости рта;</w:t>
      </w:r>
    </w:p>
    <w:p w14:paraId="51B77C0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линейная эритема десен;</w:t>
      </w:r>
    </w:p>
    <w:p w14:paraId="071F31E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ангулярный хейлит;</w:t>
      </w:r>
    </w:p>
    <w:p w14:paraId="52C943D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необъяснимое увеличение околоушных слюнных желез;</w:t>
      </w:r>
    </w:p>
    <w:p w14:paraId="0E3BF39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опоясывающий лишай;</w:t>
      </w:r>
    </w:p>
    <w:p w14:paraId="2CFD681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бессимптомная лимфоидная интерстициальная пневмония;</w:t>
      </w:r>
    </w:p>
    <w:p w14:paraId="108FDC1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рецидивирующие или хронические инфекции верхних дыхательных путей (средний отит, оторея, синусит, тонзиллит).</w:t>
      </w:r>
    </w:p>
    <w:p w14:paraId="79FBBACB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Клиническая стадия 3:</w:t>
      </w:r>
    </w:p>
    <w:p w14:paraId="4939E66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умеренные необъяснимые нарушения питания, плохо поддающиеся стандартному лечению;</w:t>
      </w:r>
    </w:p>
    <w:p w14:paraId="4D498DA2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туберкулез легких;</w:t>
      </w:r>
    </w:p>
    <w:p w14:paraId="19CB55D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туберкулез периферических лимфоузлов;</w:t>
      </w:r>
    </w:p>
    <w:p w14:paraId="28AA1392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необъяснимая хроническая диарея (14 дней и более);</w:t>
      </w:r>
    </w:p>
    <w:p w14:paraId="1FBD8D6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необъяснимая упорная лихорадка (выше 37,5°С, перемежающаяся или постоянная, более месяца);</w:t>
      </w:r>
    </w:p>
    <w:p w14:paraId="45E749B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постоянный кандидозный стоматит (у детей старше 6 недель);</w:t>
      </w:r>
    </w:p>
    <w:p w14:paraId="5503D762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кандидоз рта (у детей старше 2 месяцев);</w:t>
      </w:r>
    </w:p>
    <w:p w14:paraId="0F6AA5A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волосистая лейкоплакия полости рта;</w:t>
      </w:r>
    </w:p>
    <w:p w14:paraId="096152A8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острый язвенно-некротический гингивит или периодонтит;</w:t>
      </w:r>
    </w:p>
    <w:p w14:paraId="75ACB4D8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тяжелая рецидивирующая бактериальная пневмония;</w:t>
      </w:r>
    </w:p>
    <w:p w14:paraId="7DA2BD0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хронические поражения легких, обусловленные ВИЧ-инфекцией, включая бронхоэктазы;</w:t>
      </w:r>
    </w:p>
    <w:p w14:paraId="673B7BD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клинически выраженная лимфоидная интерстициальная пневмония;</w:t>
      </w:r>
    </w:p>
    <w:p w14:paraId="700B5C3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необъяснимая анемия (гемоглобин &lt;80 г/л) или нейтропения - число нейтрофилов (&lt;0,5х10</w:t>
      </w:r>
      <w:r>
        <w:rPr>
          <w:vertAlign w:val="superscript"/>
        </w:rPr>
        <w:t>9</w:t>
      </w:r>
      <w:r>
        <w:t>/л) или постоянная тромбоцитопения (&lt;50х10</w:t>
      </w:r>
      <w:r>
        <w:rPr>
          <w:vertAlign w:val="superscript"/>
        </w:rPr>
        <w:t>9</w:t>
      </w:r>
      <w:r>
        <w:t xml:space="preserve">/л). </w:t>
      </w:r>
    </w:p>
    <w:p w14:paraId="7EDCC99F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lastRenderedPageBreak/>
        <w:t>Клиническая стадия 4:</w:t>
      </w:r>
    </w:p>
    <w:p w14:paraId="772FC27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необъяснимое тяжелое истощение, задержка роста или выраженные нарушения питания, не поддающиеся стандартному лечению;</w:t>
      </w:r>
    </w:p>
    <w:p w14:paraId="7E44F446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пневмоцистная пневмония;</w:t>
      </w:r>
    </w:p>
    <w:p w14:paraId="365C0A8E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рецидивирующие тяжелые бактериальные инфекции, кроме пневмонии (например: эмпиема плевры, пиомиозит, инфекции костей и суставов, менингит, др.);</w:t>
      </w:r>
    </w:p>
    <w:p w14:paraId="040DBD6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хроническая ВПГ - инфекция (герпес губ и полости рта или кожи длительностью более месяца, либо висцеральный любой локализации);</w:t>
      </w:r>
    </w:p>
    <w:p w14:paraId="1E29089E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внелегочный туберкулез, включая туберкулез внутригрудных лимфоузлов и туберкулезный плеврит);</w:t>
      </w:r>
    </w:p>
    <w:p w14:paraId="273C5F3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саркома Капоши;</w:t>
      </w:r>
    </w:p>
    <w:p w14:paraId="521D2482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кандидозный эзофагит;</w:t>
      </w:r>
    </w:p>
    <w:p w14:paraId="430E682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токсоплазменный энцефалит (кроме новорожденных);</w:t>
      </w:r>
    </w:p>
    <w:p w14:paraId="1ABF046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ВИЧ-энцефалопатия;</w:t>
      </w:r>
    </w:p>
    <w:p w14:paraId="2D18A189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ЦМВ - инфекция (ретинит или поражение других органов), развившаяся у ребенка старше 1 месяца;</w:t>
      </w:r>
    </w:p>
    <w:p w14:paraId="24F9CE80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внелегочный криптококкоз, включая криптококковый менингит;</w:t>
      </w:r>
    </w:p>
    <w:p w14:paraId="1E73D42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диссеминированный глубокий микоз (например, внелегочный гистоплазмоз, кокцидиоидомикоз, пенициллиоз);</w:t>
      </w:r>
    </w:p>
    <w:p w14:paraId="5C9E92D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хронический криптоспоридиоз (с диарейным синдромом);</w:t>
      </w:r>
    </w:p>
    <w:p w14:paraId="4A75190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хронический изоспороз;</w:t>
      </w:r>
    </w:p>
    <w:p w14:paraId="094EEFBA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диссеминированная инфекция, вызванная атипичными микобактериями;</w:t>
      </w:r>
    </w:p>
    <w:p w14:paraId="344F6A8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кандидоз трахеи, бронхов или легких;</w:t>
      </w:r>
    </w:p>
    <w:p w14:paraId="65B7244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лимфома головного мозга или В-клеточная неходжкинская лимфома;</w:t>
      </w:r>
    </w:p>
    <w:p w14:paraId="3DF759B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прогрессирующая многоочаговая лейкоэнцефалопатия;</w:t>
      </w:r>
    </w:p>
    <w:p w14:paraId="553A6600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ВИЧ - кардиомиопатия или ВИЧ-нефропатия;</w:t>
      </w:r>
    </w:p>
    <w:p w14:paraId="3C67ECA3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лейомиосаркома или другие ВИЧ - ассоциированные солидные опухоли.</w:t>
      </w:r>
    </w:p>
    <w:p w14:paraId="79EDEC7F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2. Методы, подходы и процедуры диагностики</w:t>
      </w:r>
      <w:r>
        <w:t xml:space="preserve"> [2-18]:</w:t>
      </w:r>
    </w:p>
    <w:p w14:paraId="3796C8B0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2.1 Диагностические критерии:</w:t>
      </w:r>
    </w:p>
    <w:p w14:paraId="2E9DC7DA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Жалобы:</w:t>
      </w:r>
      <w:r>
        <w:t xml:space="preserve"> характерных жалоб нет, возможны длительная лихорадка, потеря веса, увеличение лимфатических узлов.</w:t>
      </w:r>
    </w:p>
    <w:p w14:paraId="7608CDB5" w14:textId="77777777" w:rsidR="0072285B" w:rsidRDefault="0072285B" w:rsidP="0072285B">
      <w:pPr>
        <w:autoSpaceDE w:val="0"/>
        <w:autoSpaceDN w:val="0"/>
        <w:ind w:firstLine="397"/>
        <w:jc w:val="both"/>
      </w:pPr>
      <w:r>
        <w:t>При первичном обращении, с родителями или опекунами ребенка проводится психосоциальное консультирование о положительном ВИЧ статусе.</w:t>
      </w:r>
    </w:p>
    <w:p w14:paraId="4AC89EF3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  <w:lang w:val="en-US"/>
        </w:rPr>
        <w:t>NB</w:t>
      </w:r>
      <w:r>
        <w:rPr>
          <w:b/>
          <w:bCs/>
        </w:rPr>
        <w:t>!</w:t>
      </w:r>
      <w:r>
        <w:t xml:space="preserve"> Родители или опекун подписывают лист конфиденциального собеседования, форма </w:t>
      </w:r>
      <w:r w:rsidRPr="00CC401B">
        <w:t>№ 095/у (</w:t>
      </w:r>
      <w:hyperlink r:id="rId8" w:history="1">
        <w:r w:rsidRPr="00CC401B">
          <w:rPr>
            <w:rStyle w:val="a3"/>
          </w:rPr>
          <w:t>приказ</w:t>
        </w:r>
      </w:hyperlink>
      <w:r w:rsidRPr="00CC401B">
        <w:t xml:space="preserve"> МЗ РК № 175 от 30.10.2020 года).</w:t>
      </w:r>
    </w:p>
    <w:p w14:paraId="0D86B668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Анамнез:</w:t>
      </w:r>
    </w:p>
    <w:p w14:paraId="04107D5D" w14:textId="77777777" w:rsidR="0072285B" w:rsidRDefault="0072285B" w:rsidP="0072285B">
      <w:pPr>
        <w:autoSpaceDE w:val="0"/>
        <w:autoSpaceDN w:val="0"/>
        <w:ind w:firstLine="397"/>
        <w:jc w:val="both"/>
      </w:pPr>
      <w:r>
        <w:t>Заболевание начинается постепенно.</w:t>
      </w:r>
    </w:p>
    <w:p w14:paraId="07A61A80" w14:textId="77777777" w:rsidR="0072285B" w:rsidRDefault="0072285B" w:rsidP="0072285B">
      <w:pPr>
        <w:autoSpaceDE w:val="0"/>
        <w:autoSpaceDN w:val="0"/>
        <w:ind w:firstLine="397"/>
        <w:jc w:val="both"/>
      </w:pPr>
      <w:r>
        <w:t>При инфицировании в родах манифестация клиники приходится на первые месяцы жизни ребенка в виде острого ретровирусного синдрома - неспецифических симптомов в виде повышения температуры, респираторного катара, стоматита, сыпи, диспепсии.</w:t>
      </w:r>
    </w:p>
    <w:p w14:paraId="0A535F72" w14:textId="77777777" w:rsidR="0072285B" w:rsidRDefault="0072285B" w:rsidP="0072285B">
      <w:pPr>
        <w:autoSpaceDE w:val="0"/>
        <w:autoSpaceDN w:val="0"/>
        <w:ind w:firstLine="397"/>
        <w:jc w:val="both"/>
      </w:pPr>
      <w:r>
        <w:t>Инфицирование при грудном вскармливании может происходить в течение всего периода лактации, поэтому сроки появления первых симптомов ВИЧ-инфекции становятся размытыми.</w:t>
      </w:r>
    </w:p>
    <w:p w14:paraId="3B813BB5" w14:textId="77777777" w:rsidR="0072285B" w:rsidRDefault="0072285B" w:rsidP="0072285B">
      <w:pPr>
        <w:autoSpaceDE w:val="0"/>
        <w:autoSpaceDN w:val="0"/>
        <w:ind w:firstLine="397"/>
        <w:jc w:val="both"/>
      </w:pPr>
      <w:r>
        <w:t>При инфицировании ВИЧ у подростков половым или парентеральным путем, так же, как и у взрослых, клиника острой стадия инфекции может отсутствовать, и клиника заболевания может проявиться только в стадии вторичных заболеваний.</w:t>
      </w:r>
    </w:p>
    <w:p w14:paraId="67DC576F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Эпидемиологический анамнез:</w:t>
      </w:r>
    </w:p>
    <w:p w14:paraId="0B131E83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источник ВИЧ-инфекции - инфицированный человек, находящийся в любой стадии болезни, в том числе и в периоде инкубации;</w:t>
      </w:r>
    </w:p>
    <w:p w14:paraId="77862B4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анализ степени контакта с лицами с подобными заболеваниями с учетом состоявшегося механизма и пути передачи инфекции.</w:t>
      </w:r>
    </w:p>
    <w:p w14:paraId="0A0D88BD" w14:textId="67CB871D" w:rsidR="00CC17E1" w:rsidRDefault="00CC17E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676"/>
      </w:tblGrid>
      <w:tr w:rsidR="0072285B" w14:paraId="20344AF1" w14:textId="77777777" w:rsidTr="00FF409B">
        <w:tc>
          <w:tcPr>
            <w:tcW w:w="1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CB70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Пути передачи</w:t>
            </w:r>
          </w:p>
        </w:tc>
        <w:tc>
          <w:tcPr>
            <w:tcW w:w="3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85F1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Характеристика УД</w:t>
            </w:r>
          </w:p>
        </w:tc>
      </w:tr>
      <w:tr w:rsidR="0072285B" w14:paraId="1A4F6C73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B19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lastRenderedPageBreak/>
              <w:t>Половой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47A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Половой контакт с инфицированным партнером с В определяемой вирусной нагрузкой.</w:t>
            </w:r>
          </w:p>
        </w:tc>
      </w:tr>
      <w:tr w:rsidR="0072285B" w14:paraId="7074DF43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3EE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Парентеральный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4C6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Немедицинские и медицинские инвазивные процедуры, В гемотрансфузии, трансплантация органов, тканей и клеток.</w:t>
            </w:r>
          </w:p>
        </w:tc>
      </w:tr>
      <w:tr w:rsidR="0072285B" w14:paraId="6123F568" w14:textId="77777777" w:rsidTr="00FF409B"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F0F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Вертикальный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309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От ВИЧ-инфицированной матери ребенку во время В беременности, в родах, после родов.</w:t>
            </w:r>
          </w:p>
        </w:tc>
      </w:tr>
    </w:tbl>
    <w:p w14:paraId="01CA1271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Предрасполагающие факторы:</w:t>
      </w:r>
    </w:p>
    <w:p w14:paraId="403234E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признаки выраженного иммунодефицита у ВИЧ-инфицированного источника инфекции;</w:t>
      </w:r>
    </w:p>
    <w:p w14:paraId="6124FA3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развернутая клиническая стадия у ВИЧ-инфицированного источника инфекции.</w:t>
      </w:r>
    </w:p>
    <w:p w14:paraId="62A098A0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Факторы риска:</w:t>
      </w:r>
    </w:p>
    <w:p w14:paraId="460C213E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наличие повреждений кожных покровов;</w:t>
      </w:r>
    </w:p>
    <w:p w14:paraId="5A642FA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нарушение целостности слизистых покровов;</w:t>
      </w:r>
    </w:p>
    <w:p w14:paraId="5085C5C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переливание непроверенной крови и ее компонентов;</w:t>
      </w:r>
    </w:p>
    <w:p w14:paraId="37006903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использование необработанного медицинского и немедицинского инструментария;</w:t>
      </w:r>
    </w:p>
    <w:p w14:paraId="25C96126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грудное вскармливание.</w:t>
      </w:r>
    </w:p>
    <w:p w14:paraId="39A0A61A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Физикальное обследование:</w:t>
      </w:r>
    </w:p>
    <w:p w14:paraId="63110F3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потеря веса - потеря веса (&lt;10%), сильная потеря веса (&gt;10%), кахексия;</w:t>
      </w:r>
    </w:p>
    <w:p w14:paraId="208237D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температура тела (лихорадка более месяца);</w:t>
      </w:r>
    </w:p>
    <w:p w14:paraId="3EA4A159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частота дыхания (одышка в покое);</w:t>
      </w:r>
    </w:p>
    <w:p w14:paraId="4CCEAB4C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увеличение лимфатических узлов;</w:t>
      </w:r>
    </w:p>
    <w:p w14:paraId="2F8E65E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дерматиты, герпетические, папулезные высыпания, грибковые поражения кожи и ногтей, контагиозный моллюск, множественные бородавки;</w:t>
      </w:r>
    </w:p>
    <w:p w14:paraId="04E7A928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ретинит;</w:t>
      </w:r>
    </w:p>
    <w:p w14:paraId="4651286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увеличение околоушных слюнных желез, стоматит, язвенно-некротические поражения (гингивит, периодонтит), разрастание слизистой полости рта, преимущественно боковой поверхности языка;</w:t>
      </w:r>
    </w:p>
    <w:p w14:paraId="32875B6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кашель, одышка, хрипы, рецидивирующие инфекции верхних дыхательных путей (средний отит, оторея, синусит, тонзиллит);</w:t>
      </w:r>
    </w:p>
    <w:p w14:paraId="0DCA0E15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рецидивирующие тяжелые бактериальные инфекции;</w:t>
      </w:r>
    </w:p>
    <w:p w14:paraId="1B8AEDA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кардиомиопатия;</w:t>
      </w:r>
    </w:p>
    <w:p w14:paraId="3BCD12F0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диарея более 1 месяца;</w:t>
      </w:r>
    </w:p>
    <w:p w14:paraId="455C5C2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увеличение печени и селезенки, дисфагия;</w:t>
      </w:r>
    </w:p>
    <w:p w14:paraId="03480B4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нефропатия;</w:t>
      </w:r>
    </w:p>
    <w:p w14:paraId="7DE564BA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инфекция, вызванная вирусом папилломы человека (остроконечные кондиломы половых органов и заднего прохода, рак шейки матки);</w:t>
      </w:r>
    </w:p>
    <w:p w14:paraId="64562DC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неврологический и психический статус: задержка психомоторного развития у детей; задержка когнитивных, моторных, речевых и социальных навыков, неврологические симптомы у детей с энцефалопатией.</w:t>
      </w:r>
    </w:p>
    <w:p w14:paraId="592725F3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Лабораторные исследования:</w:t>
      </w:r>
    </w:p>
    <w:p w14:paraId="4DE7C261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- Общий анализ крови:</w:t>
      </w:r>
      <w:r>
        <w:t xml:space="preserve"> лейкопения, лимфоцитоз, нормальное или повышенное СОЭ, анемия, тромбоцитопения.</w:t>
      </w:r>
    </w:p>
    <w:p w14:paraId="4F18DAAE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- Общий анализ мочи:</w:t>
      </w:r>
      <w:r>
        <w:t xml:space="preserve"> протеинурия, цилиндрурия.</w:t>
      </w:r>
    </w:p>
    <w:p w14:paraId="078A1E14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- Биохимический анализ крови:</w:t>
      </w:r>
    </w:p>
    <w:p w14:paraId="58B0A913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повышение уровня креатинина и мочевины в крови, гипонатриемия, гипокалиемия (при развитии ОПП),</w:t>
      </w:r>
    </w:p>
    <w:p w14:paraId="0C53268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повышение уровня глюкозы натощак;</w:t>
      </w:r>
    </w:p>
    <w:p w14:paraId="6CF8EC3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повышение уровня холестерина (ЛПВП, ЛПНП); триглицериды; липаза.</w:t>
      </w:r>
    </w:p>
    <w:p w14:paraId="248AF384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- Серологический анализ крови:</w:t>
      </w:r>
    </w:p>
    <w:p w14:paraId="01ACDA69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иммунохроматографический/иммунохемилюминесцентный/ иммуноферментный анализ на ВИЧ (ИХА/ИХЛА/ИФА);</w:t>
      </w:r>
    </w:p>
    <w:p w14:paraId="5F439E3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иммуноблоттинг (ИБ) или хроматографический тест с профилем белков для подтверждения диагноза ВИЧ;</w:t>
      </w:r>
    </w:p>
    <w:p w14:paraId="5E814FA3" w14:textId="77777777" w:rsidR="0072285B" w:rsidRDefault="0072285B" w:rsidP="0072285B">
      <w:pPr>
        <w:autoSpaceDE w:val="0"/>
        <w:autoSpaceDN w:val="0"/>
        <w:ind w:firstLine="397"/>
        <w:jc w:val="both"/>
      </w:pPr>
      <w:r>
        <w:lastRenderedPageBreak/>
        <w:t>- иммуноферментный/иммунохемилюминесцентный/иммунохроматографический анализ на гепатит С (</w:t>
      </w:r>
      <w:r>
        <w:rPr>
          <w:lang w:val="en-US"/>
        </w:rPr>
        <w:t>anti</w:t>
      </w:r>
      <w:r>
        <w:t>-</w:t>
      </w:r>
      <w:r>
        <w:rPr>
          <w:lang w:val="en-US"/>
        </w:rPr>
        <w:t>HCV</w:t>
      </w:r>
      <w:r>
        <w:t>) и гепатит В (</w:t>
      </w:r>
      <w:r>
        <w:rPr>
          <w:lang w:val="en-US"/>
        </w:rPr>
        <w:t>HBsAg</w:t>
      </w:r>
      <w:r>
        <w:t xml:space="preserve">, анти </w:t>
      </w:r>
      <w:r>
        <w:rPr>
          <w:lang w:val="en-US"/>
        </w:rPr>
        <w:t>HBsAg</w:t>
      </w:r>
      <w:r>
        <w:t xml:space="preserve">, анти </w:t>
      </w:r>
      <w:r>
        <w:rPr>
          <w:lang w:val="en-US"/>
        </w:rPr>
        <w:t>HBcorAg</w:t>
      </w:r>
      <w:r>
        <w:t>,); тест на сифилис.</w:t>
      </w:r>
    </w:p>
    <w:p w14:paraId="21D8FAE1" w14:textId="77777777" w:rsidR="0072285B" w:rsidRDefault="0072285B" w:rsidP="0072285B">
      <w:pPr>
        <w:autoSpaceDE w:val="0"/>
        <w:autoSpaceDN w:val="0"/>
        <w:ind w:firstLine="397"/>
        <w:jc w:val="both"/>
      </w:pPr>
      <w:r>
        <w:t xml:space="preserve">- определение числа лимфоцитов </w:t>
      </w:r>
      <w:r>
        <w:rPr>
          <w:lang w:val="en-US"/>
        </w:rPr>
        <w:t>CD</w:t>
      </w:r>
      <w:r>
        <w:t>4 (абсолютное и процентное содержание для детей до 5 лет) - по показаниям двукратное измерение с интервалом не менее 7 дней для оценки степени тяжести.</w:t>
      </w:r>
    </w:p>
    <w:p w14:paraId="1C1D5B56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иммунохроматографический/иммунохемилюминесцентный/иммуноферментный анализ</w:t>
      </w:r>
      <w:r w:rsidRPr="00291AC9">
        <w:rPr>
          <w:highlight w:val="yellow"/>
        </w:rPr>
        <w:t xml:space="preserve"> </w:t>
      </w:r>
      <w:r w:rsidRPr="00DC6240">
        <w:t>определения антител криптоккок</w:t>
      </w:r>
      <w:r>
        <w:t>овой инфекции (ИХА/ИХЛА/ИФА);</w:t>
      </w:r>
    </w:p>
    <w:p w14:paraId="060B47DE" w14:textId="70BD572F" w:rsidR="0072285B" w:rsidRDefault="0072285B"/>
    <w:p w14:paraId="20591564" w14:textId="77777777" w:rsidR="0072285B" w:rsidRDefault="0072285B" w:rsidP="0072285B">
      <w:pPr>
        <w:autoSpaceDE w:val="0"/>
        <w:autoSpaceDN w:val="0"/>
        <w:ind w:firstLine="397"/>
        <w:jc w:val="center"/>
      </w:pPr>
      <w:r>
        <w:rPr>
          <w:b/>
          <w:bCs/>
        </w:rPr>
        <w:t>Классификация иммунных нарушений у детей в соответствие с возрастом</w:t>
      </w:r>
    </w:p>
    <w:p w14:paraId="14965095" w14:textId="77777777" w:rsidR="0072285B" w:rsidRDefault="0072285B" w:rsidP="0072285B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715"/>
        <w:gridCol w:w="1715"/>
        <w:gridCol w:w="1715"/>
        <w:gridCol w:w="1982"/>
      </w:tblGrid>
      <w:tr w:rsidR="0072285B" w14:paraId="6499B5AA" w14:textId="77777777" w:rsidTr="0072285B"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43C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Иммунная категория</w:t>
            </w:r>
          </w:p>
        </w:tc>
        <w:tc>
          <w:tcPr>
            <w:tcW w:w="34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666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Количество СО4+-лимфоцитов в зависимости от возраста</w:t>
            </w:r>
          </w:p>
        </w:tc>
      </w:tr>
      <w:tr w:rsidR="0072285B" w14:paraId="506A4082" w14:textId="77777777" w:rsidTr="007228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B2DB2" w14:textId="77777777" w:rsidR="0072285B" w:rsidRDefault="0072285B" w:rsidP="00FF409B"/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F7EE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До 12 мес. (%)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3F73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12-36 мес.,(%)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FE63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36-59 мес., (%)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ED1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Старше 5 лет (клеток /мл)</w:t>
            </w:r>
          </w:p>
        </w:tc>
      </w:tr>
      <w:tr w:rsidR="0072285B" w14:paraId="665E141C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A67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Отсутствие иммунодефицита или незначительный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60D9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&gt;35%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AD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&gt;30%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1BF9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&gt;25%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0630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&gt;500</w:t>
            </w:r>
          </w:p>
        </w:tc>
      </w:tr>
      <w:tr w:rsidR="0072285B" w14:paraId="173F0392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6A9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Умеренный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C6D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30-35%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6D6B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25-30%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5BA4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20-25%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7E25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250-500</w:t>
            </w:r>
          </w:p>
        </w:tc>
      </w:tr>
      <w:tr w:rsidR="0072285B" w14:paraId="4F9AF06A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BF5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Выраженный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765B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25-30%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88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20-25 %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BAE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15-20%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6240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200-350</w:t>
            </w:r>
          </w:p>
        </w:tc>
      </w:tr>
      <w:tr w:rsidR="0072285B" w14:paraId="59119681" w14:textId="77777777" w:rsidTr="0072285B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F11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Тяжелый иммунодефицит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FBD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&lt;25%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E2DE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&lt;20%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1E1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&lt;15%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129B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&lt; 200 или &lt;15%</w:t>
            </w:r>
          </w:p>
        </w:tc>
      </w:tr>
    </w:tbl>
    <w:p w14:paraId="762EFB6E" w14:textId="77777777" w:rsidR="0072285B" w:rsidRDefault="0072285B" w:rsidP="0072285B">
      <w:pPr>
        <w:autoSpaceDE w:val="0"/>
        <w:autoSpaceDN w:val="0"/>
        <w:ind w:firstLine="397"/>
        <w:jc w:val="both"/>
        <w:rPr>
          <w:b/>
          <w:bCs/>
        </w:rPr>
      </w:pPr>
    </w:p>
    <w:p w14:paraId="58F0FA5E" w14:textId="5F9BC705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Полимеразная цепная реакция РНК ВИЧ:</w:t>
      </w:r>
    </w:p>
    <w:p w14:paraId="2FC1BAF2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качественное определение провирусной ДНК ВИЧ в образце цельной крови или СКК;</w:t>
      </w:r>
    </w:p>
    <w:p w14:paraId="362DA4BD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количественное определение РНК ВИЧ в плазме крови (определение вирусной нагрузки);</w:t>
      </w:r>
    </w:p>
    <w:p w14:paraId="1015C3CD" w14:textId="49FDEA78" w:rsidR="0072285B" w:rsidRDefault="0072285B" w:rsidP="0072285B">
      <w:pPr>
        <w:autoSpaceDE w:val="0"/>
        <w:autoSpaceDN w:val="0"/>
        <w:ind w:firstLine="397"/>
        <w:jc w:val="both"/>
      </w:pPr>
      <w:r>
        <w:t>- определение лекарственной устойчивости ВИЧ к антиретровирусным препаратам методом генотипирования;</w:t>
      </w:r>
    </w:p>
    <w:p w14:paraId="2E053A7C" w14:textId="77777777" w:rsidR="0072285B" w:rsidRDefault="0072285B" w:rsidP="0072285B">
      <w:pPr>
        <w:autoSpaceDE w:val="0"/>
        <w:autoSpaceDN w:val="0"/>
        <w:ind w:firstLine="397"/>
        <w:jc w:val="both"/>
      </w:pPr>
      <w:r>
        <w:t xml:space="preserve">- качественное определение РНК ВГС методом ПНР при положительном ИФА/ИХЛА/ИХА на </w:t>
      </w:r>
      <w:r>
        <w:rPr>
          <w:lang w:val="en-US"/>
        </w:rPr>
        <w:t>anti</w:t>
      </w:r>
      <w:r>
        <w:t>-</w:t>
      </w:r>
      <w:r>
        <w:rPr>
          <w:lang w:val="en-US"/>
        </w:rPr>
        <w:t>HCV</w:t>
      </w:r>
      <w:r>
        <w:t>;</w:t>
      </w:r>
    </w:p>
    <w:p w14:paraId="19A16491" w14:textId="316F6306" w:rsidR="0072285B" w:rsidRDefault="0072285B" w:rsidP="0072285B">
      <w:pPr>
        <w:autoSpaceDE w:val="0"/>
        <w:autoSpaceDN w:val="0"/>
        <w:ind w:firstLine="397"/>
        <w:jc w:val="both"/>
      </w:pPr>
      <w:r>
        <w:t xml:space="preserve">- качественное определение ДНК ВГВ методом ПНР при положительном ИФА/ИХЛА/ИХА на </w:t>
      </w:r>
      <w:r>
        <w:rPr>
          <w:lang w:val="en-US"/>
        </w:rPr>
        <w:t>HBsAg</w:t>
      </w:r>
      <w:r w:rsidR="00D44FB4">
        <w:t>;</w:t>
      </w:r>
    </w:p>
    <w:p w14:paraId="62EA0E8E" w14:textId="77777777" w:rsidR="00D44FB4" w:rsidRDefault="00D44FB4" w:rsidP="00D44FB4">
      <w:pPr>
        <w:autoSpaceDE w:val="0"/>
        <w:autoSpaceDN w:val="0"/>
        <w:ind w:firstLine="397"/>
        <w:jc w:val="both"/>
      </w:pPr>
      <w:r>
        <w:t xml:space="preserve">- тестирование на носительство аллеля </w:t>
      </w:r>
      <w:r>
        <w:rPr>
          <w:lang w:val="en-US"/>
        </w:rPr>
        <w:t>HLA</w:t>
      </w:r>
      <w:r>
        <w:t>-</w:t>
      </w:r>
      <w:r>
        <w:rPr>
          <w:lang w:val="en-US"/>
        </w:rPr>
        <w:t>B</w:t>
      </w:r>
      <w:r>
        <w:t xml:space="preserve">*5701 перед назначением схем </w:t>
      </w:r>
      <w:r>
        <w:rPr>
          <w:lang w:val="en-US"/>
        </w:rPr>
        <w:t>APT</w:t>
      </w:r>
      <w:r>
        <w:t>, содержащих Абакавир;</w:t>
      </w:r>
    </w:p>
    <w:p w14:paraId="1936B5D3" w14:textId="77777777" w:rsidR="00D44FB4" w:rsidRDefault="00D44FB4" w:rsidP="0072285B">
      <w:pPr>
        <w:autoSpaceDE w:val="0"/>
        <w:autoSpaceDN w:val="0"/>
        <w:ind w:firstLine="397"/>
        <w:jc w:val="both"/>
      </w:pPr>
    </w:p>
    <w:p w14:paraId="2AC69BF0" w14:textId="14960FFA" w:rsidR="0072285B" w:rsidRDefault="0072285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008"/>
        <w:gridCol w:w="1781"/>
      </w:tblGrid>
      <w:tr w:rsidR="0072285B" w14:paraId="2EA64F0E" w14:textId="77777777" w:rsidTr="00FF409B"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58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Метод</w:t>
            </w:r>
          </w:p>
        </w:tc>
        <w:tc>
          <w:tcPr>
            <w:tcW w:w="2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751A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5DF5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УД</w:t>
            </w:r>
          </w:p>
        </w:tc>
      </w:tr>
      <w:tr w:rsidR="0072285B" w14:paraId="50D06AE8" w14:textId="77777777" w:rsidTr="00FF409B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97C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Гематологический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FF3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критериями инфекции для ВИЧ - определения степени тяжести.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9FA0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С</w:t>
            </w:r>
          </w:p>
        </w:tc>
      </w:tr>
      <w:tr w:rsidR="0072285B" w14:paraId="504E4261" w14:textId="77777777" w:rsidTr="00FF409B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1F72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Биохимический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381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критериями инфекции для ВИЧ - определения степени тяжести.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EF32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С</w:t>
            </w:r>
          </w:p>
        </w:tc>
      </w:tr>
      <w:tr w:rsidR="0072285B" w14:paraId="30194CA4" w14:textId="77777777" w:rsidTr="00FF409B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6EA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Серологический (ИФА, ИБ)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B8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критериями инфекции для ВИЧ - определения нозологии.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99E1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  <w:tr w:rsidR="0072285B" w14:paraId="2A5A092E" w14:textId="77777777" w:rsidTr="00FF409B">
        <w:tc>
          <w:tcPr>
            <w:tcW w:w="1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0BD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Молекулярно генетический (ПЦР)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1B6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Пациенты с клиническими критериями ВИЧ инфекции для определения нозологии и мониторинга </w:t>
            </w:r>
            <w:r>
              <w:rPr>
                <w:lang w:val="en-US"/>
              </w:rPr>
              <w:t>APT</w:t>
            </w:r>
            <w: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2D64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</w:tbl>
    <w:p w14:paraId="5BEFB4E6" w14:textId="4E179E12" w:rsidR="0072285B" w:rsidRDefault="0072285B"/>
    <w:p w14:paraId="5F4495B9" w14:textId="77777777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Инструментальные исследования: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5900"/>
        <w:gridCol w:w="1774"/>
      </w:tblGrid>
      <w:tr w:rsidR="0072285B" w14:paraId="79DE893E" w14:textId="77777777" w:rsidTr="00FF409B"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5778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Метод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912D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Показания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4B7C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УД</w:t>
            </w:r>
          </w:p>
        </w:tc>
      </w:tr>
      <w:tr w:rsidR="0072285B" w14:paraId="7201A079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0E60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УЗИ органов брюшной полости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66A4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- инфекции для уточнения размеров увеличения печени, селезенки, лимфатических узлов и оценки их структуры.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A5C0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С</w:t>
            </w:r>
          </w:p>
        </w:tc>
      </w:tr>
      <w:tr w:rsidR="0072285B" w14:paraId="34E748FC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271C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lastRenderedPageBreak/>
              <w:t>Рентгенография органов грудной клетки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3F68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ВИЧ-инфекции, аускультативные изменения в легких, при подозрении на пневмонию, туберкулез.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3147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С</w:t>
            </w:r>
          </w:p>
        </w:tc>
      </w:tr>
      <w:tr w:rsidR="0072285B" w14:paraId="239CE8D7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BD5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ФГДС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A67B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инфекции, изменения слизистой в гортани, пищеводе, органах брюшной полости.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5C4D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  <w:tr w:rsidR="0072285B" w14:paraId="4C0BCBB0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536D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МРТ/КТ головного мозга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55D7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инфекции, изменения в ЦНС.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D966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  <w:tr w:rsidR="0072285B" w14:paraId="274957D2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A2A" w14:textId="77777777" w:rsidR="0072285B" w:rsidRPr="006002D7" w:rsidRDefault="0072285B" w:rsidP="00FF409B">
            <w:pPr>
              <w:autoSpaceDE w:val="0"/>
              <w:autoSpaceDN w:val="0"/>
              <w:jc w:val="both"/>
            </w:pPr>
            <w:r>
              <w:t>МРТ/КТ легких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52F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инфекции, изменения в легких.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2385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  <w:tr w:rsidR="0072285B" w14:paraId="66A489B4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71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Колоноскопия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C2AE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инфекции, изменения в слизистой толстого кишечника.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7CED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  <w:tr w:rsidR="0072285B" w14:paraId="46DF604B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B719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ЭКГ, ЭХО КС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2BD3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инфекции, с аускультативными изменениями в сердце для уточнения нарушения функции проведения и трофики ткани сердца.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0D27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С</w:t>
            </w:r>
          </w:p>
        </w:tc>
      </w:tr>
      <w:tr w:rsidR="0072285B" w14:paraId="3E304291" w14:textId="77777777" w:rsidTr="00FF409B"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EFE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 xml:space="preserve">Первоначальное исследование на </w:t>
            </w:r>
            <w:r>
              <w:rPr>
                <w:lang w:val="en-US"/>
              </w:rPr>
              <w:t>Xpert</w:t>
            </w:r>
            <w:r>
              <w:t>/</w:t>
            </w:r>
            <w:r>
              <w:rPr>
                <w:lang w:val="en-US"/>
              </w:rPr>
              <w:t>MTB</w:t>
            </w:r>
            <w:r>
              <w:t>/</w:t>
            </w:r>
            <w:r>
              <w:rPr>
                <w:lang w:val="en-US"/>
              </w:rPr>
              <w:t>RIF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E515" w14:textId="77777777" w:rsidR="0072285B" w:rsidRDefault="0072285B" w:rsidP="00FF409B">
            <w:pPr>
              <w:autoSpaceDE w:val="0"/>
              <w:autoSpaceDN w:val="0"/>
              <w:jc w:val="both"/>
            </w:pPr>
            <w:r>
              <w:t>Пациенты с клиническими симптомами ВИЧ инфекции с симптомокомплексом (кашель, длительная температура, снижение веса, потливость) для диагностики туберкулеза.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15A6" w14:textId="77777777" w:rsidR="0072285B" w:rsidRDefault="0072285B" w:rsidP="00FF409B">
            <w:pPr>
              <w:autoSpaceDE w:val="0"/>
              <w:autoSpaceDN w:val="0"/>
              <w:jc w:val="center"/>
            </w:pPr>
            <w:r>
              <w:t>В</w:t>
            </w:r>
          </w:p>
        </w:tc>
      </w:tr>
    </w:tbl>
    <w:p w14:paraId="6CFAB877" w14:textId="77777777" w:rsidR="0072285B" w:rsidRDefault="0072285B" w:rsidP="0072285B">
      <w:pPr>
        <w:autoSpaceDE w:val="0"/>
        <w:autoSpaceDN w:val="0"/>
        <w:ind w:firstLine="397"/>
        <w:jc w:val="both"/>
        <w:rPr>
          <w:b/>
          <w:bCs/>
        </w:rPr>
      </w:pPr>
    </w:p>
    <w:p w14:paraId="5513F26C" w14:textId="1A8EA272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Показания для консультации специалистов:</w:t>
      </w:r>
    </w:p>
    <w:p w14:paraId="7947F9E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фтизиатра - при признаках/подозрении на туберкулез, МАК комплекс, профилактическое наблюдение;</w:t>
      </w:r>
    </w:p>
    <w:p w14:paraId="594A85CE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невропатолога - при признаках/подозрении на криптококковый менингит, ВИЧ-энцефалопатию, токсоплазмоз ЦНС, ПМЛ, лимфомы головного мозга, периферическую полинейропатию, при побочных эффектах АРВП;</w:t>
      </w:r>
    </w:p>
    <w:p w14:paraId="1AFC11E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психиатра - при признаках/подозрении психического расстройства, ВИЧ-энцефалопатии/деменции, депрессии;</w:t>
      </w:r>
    </w:p>
    <w:p w14:paraId="5348354B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психотерапевта (психолога): при психологических проблемах, для повышения приверженности к проводимому лечению;</w:t>
      </w:r>
    </w:p>
    <w:p w14:paraId="14315EAF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офтальмолога - при признаках/подозрении на ретинит;</w:t>
      </w:r>
    </w:p>
    <w:p w14:paraId="450A0A49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кардиолога - при признаках/подозрении на кардиомиопатию, сердечно-сосудистые заболевания, при побочных эффектах АРВП;</w:t>
      </w:r>
    </w:p>
    <w:p w14:paraId="2D395A87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онколога - при признаках/подозрении на злокачественные новообразования;</w:t>
      </w:r>
    </w:p>
    <w:p w14:paraId="0C52B5E0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дерматовенеролога - при признаках/подозрении на дерматовенерологические заболевания, профилактическое наблюдение;</w:t>
      </w:r>
    </w:p>
    <w:p w14:paraId="5C181B21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акушера-гинеколога - при признаках/подозрении воспалительных заболеваний женской половой сферы, профилактическое наблюдение;</w:t>
      </w:r>
    </w:p>
    <w:p w14:paraId="23D5A924" w14:textId="77777777" w:rsidR="0072285B" w:rsidRDefault="0072285B" w:rsidP="0072285B">
      <w:pPr>
        <w:autoSpaceDE w:val="0"/>
        <w:autoSpaceDN w:val="0"/>
        <w:ind w:firstLine="397"/>
        <w:jc w:val="both"/>
      </w:pPr>
      <w:r>
        <w:t>- консультация других узких специалистов - по показаниям.</w:t>
      </w:r>
    </w:p>
    <w:p w14:paraId="29541AF8" w14:textId="77777777" w:rsidR="009D4C87" w:rsidRDefault="009D4C87" w:rsidP="0072285B">
      <w:pPr>
        <w:autoSpaceDE w:val="0"/>
        <w:autoSpaceDN w:val="0"/>
        <w:ind w:firstLine="397"/>
        <w:jc w:val="both"/>
        <w:rPr>
          <w:b/>
          <w:bCs/>
        </w:rPr>
      </w:pPr>
    </w:p>
    <w:p w14:paraId="35A4C9DA" w14:textId="77777777" w:rsidR="009D4C87" w:rsidRDefault="009D4C87" w:rsidP="009D4C87">
      <w:pPr>
        <w:autoSpaceDE w:val="0"/>
        <w:autoSpaceDN w:val="0"/>
        <w:jc w:val="both"/>
        <w:rPr>
          <w:b/>
          <w:bCs/>
        </w:rPr>
      </w:pPr>
    </w:p>
    <w:p w14:paraId="765C3822" w14:textId="77777777" w:rsidR="009D4C87" w:rsidRDefault="009D4C87" w:rsidP="0072285B">
      <w:pPr>
        <w:autoSpaceDE w:val="0"/>
        <w:autoSpaceDN w:val="0"/>
        <w:ind w:firstLine="397"/>
        <w:jc w:val="both"/>
        <w:rPr>
          <w:b/>
          <w:bCs/>
        </w:rPr>
      </w:pPr>
    </w:p>
    <w:p w14:paraId="56C68FFC" w14:textId="0DE07103" w:rsidR="0072285B" w:rsidRDefault="0072285B" w:rsidP="0072285B">
      <w:pPr>
        <w:autoSpaceDE w:val="0"/>
        <w:autoSpaceDN w:val="0"/>
        <w:ind w:firstLine="397"/>
        <w:jc w:val="both"/>
      </w:pPr>
      <w:r>
        <w:rPr>
          <w:b/>
          <w:bCs/>
        </w:rPr>
        <w:t>2.2 Диагностический алгоритм: для детей в возрасте от 0 до 18 месяцев</w:t>
      </w:r>
      <w:r>
        <w:t xml:space="preserve"> [2, 4, 7-18].</w:t>
      </w:r>
    </w:p>
    <w:p w14:paraId="7B17E8A2" w14:textId="7C33E68C" w:rsidR="0072285B" w:rsidRDefault="0072285B"/>
    <w:p w14:paraId="3B1D0E4D" w14:textId="77777777" w:rsidR="0072285B" w:rsidRDefault="0072285B" w:rsidP="0072285B">
      <w:pPr>
        <w:autoSpaceDE w:val="0"/>
        <w:autoSpaceDN w:val="0"/>
        <w:ind w:firstLine="397"/>
        <w:jc w:val="center"/>
        <w:rPr>
          <w:b/>
          <w:bCs/>
        </w:rPr>
      </w:pPr>
      <w:r w:rsidRPr="0072285B">
        <w:rPr>
          <w:b/>
          <w:bCs/>
        </w:rPr>
        <w:t>Алгоритм</w:t>
      </w:r>
      <w:r w:rsidRPr="0072285B">
        <w:rPr>
          <w:b/>
          <w:bCs/>
          <w:vertAlign w:val="superscript"/>
        </w:rPr>
        <w:t>1</w:t>
      </w:r>
      <w:r w:rsidRPr="0072285B">
        <w:rPr>
          <w:b/>
          <w:bCs/>
        </w:rPr>
        <w:t xml:space="preserve"> диагностики ВИЧ - инфекции у детей в возрасте от 0 до 18 месяцев, рождённых от ВИЧ - позитивных матерей</w:t>
      </w:r>
    </w:p>
    <w:p w14:paraId="2C224E28" w14:textId="64BA7B88" w:rsidR="0072285B" w:rsidRDefault="0072285B"/>
    <w:p w14:paraId="61220F42" w14:textId="7D141795" w:rsidR="0072285B" w:rsidRDefault="0072285B"/>
    <w:bookmarkStart w:id="0" w:name="_MON_1722860260"/>
    <w:bookmarkEnd w:id="0"/>
    <w:p w14:paraId="66A45C1A" w14:textId="03103394" w:rsidR="00FF409B" w:rsidRDefault="00CC5D56" w:rsidP="00FF409B">
      <w:pPr>
        <w:keepNext/>
      </w:pPr>
      <w:r>
        <w:object w:dxaOrig="10308" w:dyaOrig="14412" w14:anchorId="04B6D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0.75pt" o:ole="">
            <v:imagedata r:id="rId9" o:title=""/>
          </v:shape>
          <o:OLEObject Type="Embed" ProgID="Word.Document.12" ShapeID="_x0000_i1025" DrawAspect="Content" ObjectID="_1726396748" r:id="rId10">
            <o:FieldCodes>\s</o:FieldCodes>
          </o:OLEObject>
        </w:object>
      </w:r>
    </w:p>
    <w:p w14:paraId="3442DF93" w14:textId="452620FC" w:rsidR="009D4C87" w:rsidRDefault="00FF409B" w:rsidP="00FF409B">
      <w:pPr>
        <w:pStyle w:val="aa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rPr>
          <w:noProof/>
        </w:rPr>
        <w:t>Алгоритм диагностики ВИЧ - инфекции у детей в возрасте от 0 до 18 месяцев, рождённых от ВИЧ - позитивных матерей</w:t>
      </w:r>
    </w:p>
    <w:p w14:paraId="06D9B122" w14:textId="0487EBAA" w:rsidR="0072285B" w:rsidRDefault="0072285B"/>
    <w:p w14:paraId="3A7A386B" w14:textId="77777777" w:rsidR="009D4C87" w:rsidRDefault="009D4C87" w:rsidP="009D4C87">
      <w:pPr>
        <w:autoSpaceDE w:val="0"/>
        <w:autoSpaceDN w:val="0"/>
        <w:ind w:firstLine="397"/>
        <w:jc w:val="both"/>
      </w:pPr>
      <w:r>
        <w:t>1. Данный алгоритм применим для детей, рожденных от ВИЧ-инфицированных матерей, от матерей с неустановленным ВИЧ статусом, а также детей до 18 месяцев при наличии эпидемиологических показаний;</w:t>
      </w:r>
    </w:p>
    <w:p w14:paraId="7DD323A1" w14:textId="77777777" w:rsidR="009D4C87" w:rsidRDefault="009D4C87" w:rsidP="009D4C87">
      <w:pPr>
        <w:autoSpaceDE w:val="0"/>
        <w:autoSpaceDN w:val="0"/>
        <w:ind w:firstLine="397"/>
        <w:jc w:val="both"/>
      </w:pPr>
      <w:r>
        <w:t>2. Биоматериалом для исследования на выявление пДНК ВИЧ методом ПЦР является цельная кровь/СККК;</w:t>
      </w:r>
    </w:p>
    <w:p w14:paraId="280AD1A0" w14:textId="2384786E" w:rsidR="009D4C87" w:rsidRDefault="009D4C87" w:rsidP="009D4C87">
      <w:pPr>
        <w:autoSpaceDE w:val="0"/>
        <w:autoSpaceDN w:val="0"/>
        <w:ind w:firstLine="397"/>
        <w:jc w:val="both"/>
      </w:pPr>
      <w:r>
        <w:t>3. При обследовании на ВИЧ детей в возрасте до 18 месяцев по эпидемиологическим показаниям первое обследование методом ПЦР проводится на момент возникновения эпид</w:t>
      </w:r>
      <w:r w:rsidR="00D44FB4">
        <w:t xml:space="preserve">емиологических </w:t>
      </w:r>
      <w:r>
        <w:t>показаний не зависимо от возраста;</w:t>
      </w:r>
    </w:p>
    <w:p w14:paraId="4562D272" w14:textId="41C25A60" w:rsidR="009D4C87" w:rsidRDefault="009D4C87" w:rsidP="009D4C87">
      <w:pPr>
        <w:autoSpaceDE w:val="0"/>
        <w:autoSpaceDN w:val="0"/>
        <w:ind w:firstLine="397"/>
        <w:jc w:val="both"/>
      </w:pPr>
      <w:r>
        <w:t>4. При получении отрицательного результата в 6 недель, за ребенком проводится ежемесячное клиническое наблюдение на уровне ПМСП врачом педиатром совместно со специалистом центра СПИД. При выявлении следующих клинических симптомов: лимфаденопатия, задержка физического развития (плохая прибавка массы тела и роста), гепатоспленомегалия, персистирующие кандидозы слизистых оболочек, развитие рецидивирующих бактериальных инфекций, энцефалопатия, развитие пневмоцистной пневмонии, анемия тяжелой степени, необходимо дополнительное обследование ребенка на ПЦР ВИЧ (ДНК провирусная);</w:t>
      </w:r>
    </w:p>
    <w:p w14:paraId="7B302D69" w14:textId="76CE41B0" w:rsidR="009D4C87" w:rsidRDefault="002D5AB2" w:rsidP="009D4C87">
      <w:pPr>
        <w:autoSpaceDE w:val="0"/>
        <w:autoSpaceDN w:val="0"/>
        <w:ind w:firstLine="397"/>
        <w:jc w:val="both"/>
      </w:pPr>
      <w:r>
        <w:t>5</w:t>
      </w:r>
      <w:r w:rsidR="009D4C87">
        <w:t>. Биоматериалом для исследования методом ИФА/ИХЛА/ЭХЛА - сыворотка крови;</w:t>
      </w:r>
    </w:p>
    <w:p w14:paraId="67BB84E5" w14:textId="5266F379" w:rsidR="002D5AB2" w:rsidRPr="002D5AB2" w:rsidRDefault="002D5AB2" w:rsidP="002D5AB2">
      <w:pPr>
        <w:autoSpaceDE w:val="0"/>
        <w:autoSpaceDN w:val="0"/>
        <w:jc w:val="both"/>
        <w:rPr>
          <w:i/>
          <w:iCs/>
        </w:rPr>
      </w:pPr>
      <w:r w:rsidRPr="002D5AB2">
        <w:rPr>
          <w:i/>
          <w:iCs/>
        </w:rPr>
        <w:t>Тестирование сыворотки проводится на двух тест-системах, отличающихся друг от друга по методу или производителю.  Снятие с учета проводится на основании двух отрицательных результатов.</w:t>
      </w:r>
    </w:p>
    <w:p w14:paraId="024B18B9" w14:textId="5EE7104E" w:rsidR="009D4C87" w:rsidRDefault="002D5AB2" w:rsidP="009D4C87">
      <w:pPr>
        <w:autoSpaceDE w:val="0"/>
        <w:autoSpaceDN w:val="0"/>
        <w:ind w:firstLine="397"/>
        <w:jc w:val="both"/>
      </w:pPr>
      <w:r>
        <w:t>6</w:t>
      </w:r>
      <w:r w:rsidR="009D4C87">
        <w:t>. В случае положительного результата на ВИЧ методом ИФА/ИХЛА/ЭХЛА у ребенка в возрасте 18 месяцев диагностику ВИЧ-инфекции проводят в соответствии с алгоритмом лабораторной диагностики ВИЧ-инфекции у взрослых и детей старше 18 месяцев.</w:t>
      </w:r>
    </w:p>
    <w:p w14:paraId="02F2725A" w14:textId="77777777" w:rsidR="00D44FB4" w:rsidRDefault="00D44FB4" w:rsidP="009D4C87">
      <w:pPr>
        <w:autoSpaceDE w:val="0"/>
        <w:autoSpaceDN w:val="0"/>
        <w:ind w:firstLine="397"/>
        <w:jc w:val="both"/>
      </w:pPr>
    </w:p>
    <w:p w14:paraId="16002330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2.3 Дифференциальный диагноз и обоснование дополнительных исследований</w:t>
      </w:r>
      <w:r>
        <w:t xml:space="preserve"> [2-18]:</w:t>
      </w:r>
    </w:p>
    <w:p w14:paraId="1E52A1D6" w14:textId="12D2DC4A" w:rsidR="009D4C87" w:rsidRDefault="009D4C87" w:rsidP="009D4C87">
      <w:pPr>
        <w:autoSpaceDE w:val="0"/>
        <w:autoSpaceDN w:val="0"/>
        <w:ind w:firstLine="397"/>
        <w:jc w:val="both"/>
      </w:pPr>
      <w:r>
        <w:t xml:space="preserve">- проводится с оппортунистическими инфекциями (ОИ) и другими вторичными заболеваниями по результатам консультаций специалистов (врач-инфекционист, </w:t>
      </w:r>
      <w:r w:rsidR="002D5AB2">
        <w:t>врач-педиатр</w:t>
      </w:r>
      <w:r>
        <w:t>).</w:t>
      </w:r>
    </w:p>
    <w:p w14:paraId="63175E77" w14:textId="77777777" w:rsidR="009D4C87" w:rsidRDefault="009D4C87" w:rsidP="009D4C87">
      <w:pPr>
        <w:autoSpaceDE w:val="0"/>
        <w:autoSpaceDN w:val="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629"/>
        <w:gridCol w:w="2712"/>
        <w:gridCol w:w="2759"/>
      </w:tblGrid>
      <w:tr w:rsidR="009D4C87" w14:paraId="5E54879D" w14:textId="77777777" w:rsidTr="00FF409B"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F6A3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Диагноз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D1B6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Обоснование для дифференциальной диагностики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0EC1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Обследования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E192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Критерии исключения диагноза</w:t>
            </w:r>
          </w:p>
        </w:tc>
      </w:tr>
      <w:tr w:rsidR="009D4C87" w14:paraId="3AD92316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694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Инфекционный мононуклеоз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A69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Лимфоаденопатия, ангина, гепатолиенальный синдром, лихорадка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25A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Проведение теста Пауля-Буннелля. Общий анализ крови, биохимический анализ крови.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3FC1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Длительность не более 1 мес., преобладает системное увеличение лимфоузлов. </w:t>
            </w:r>
          </w:p>
          <w:p w14:paraId="27AF788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Положительный тест Пауля-Буннелля. </w:t>
            </w:r>
          </w:p>
          <w:p w14:paraId="11B07DDC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В крови атипичные мононуклеары более 10%.</w:t>
            </w:r>
          </w:p>
        </w:tc>
      </w:tr>
      <w:tr w:rsidR="009D4C87" w14:paraId="687A047A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C561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Краснуха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F18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Увеличение затылочных лимфоузлов, экзантема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B95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ИФА, ПЦР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E44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 анамнез, кратковременность симптомов, поражаются только затылочные лимфоузлы. </w:t>
            </w:r>
          </w:p>
          <w:p w14:paraId="74EDF91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Антитела к вирусу краснухи в нарастающем титре.</w:t>
            </w:r>
          </w:p>
        </w:tc>
      </w:tr>
      <w:tr w:rsidR="009D4C87" w14:paraId="0AD9D3BE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B8C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Токсоплазмоз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78D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Энцефалит, лимфоаденопатия, гепатомегалия, желтуха, экзантема.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D18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Бактериология, серология, РСК, РНИФ, кожная проба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F01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Эпиданамнеза, хориоретинит, кальцификаты в головном мозге, </w:t>
            </w:r>
            <w:r>
              <w:lastRenderedPageBreak/>
              <w:t xml:space="preserve">висцеральные поражения. </w:t>
            </w:r>
          </w:p>
          <w:p w14:paraId="7F4811A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Положительные результаты бактериологических, серологических, РСК, РНИФ исследований.</w:t>
            </w:r>
          </w:p>
        </w:tc>
      </w:tr>
      <w:tr w:rsidR="009D4C87" w14:paraId="532342DB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C99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Острый менингоэнцефалит (вирусной, бактериальной этиологии).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383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Менингеальный, энцефалический синдром, полиомиелитоподобный синдром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82CF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Микробиология, серология, вирусология, иммунофлюоресцентный метод диагностики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025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Эпид. анамнез, более четко очерчена клиническая картина, при бактериальных неменингококковых менингитах - наличие очагов инфекции. </w:t>
            </w:r>
          </w:p>
          <w:p w14:paraId="2F866D7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Положительные результаты лабораторных исследований.</w:t>
            </w:r>
          </w:p>
        </w:tc>
      </w:tr>
      <w:tr w:rsidR="009D4C87" w14:paraId="1E60F6F9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9B5C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Аденовирусная инфекция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DD0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Лихорадка, назофарингит, лимфаденит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4A9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Вирусология, серология, иммунофлюоресцентное исследование, гемограмма.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2B6C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 анамнез, острое течение, лимфаденит преимущественно регионарных лимфоузлов </w:t>
            </w:r>
          </w:p>
          <w:p w14:paraId="203EA58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Вирусология, серология с нарастанием титра </w:t>
            </w:r>
            <w:r>
              <w:rPr>
                <w:lang w:val="en-US"/>
              </w:rPr>
              <w:t>AT</w:t>
            </w:r>
            <w:r>
              <w:t>, положительный результат иммунофлюоресцентного исследования.</w:t>
            </w:r>
          </w:p>
        </w:tc>
      </w:tr>
      <w:tr w:rsidR="009D4C87" w14:paraId="715CDC9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7A8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Энтеровирусная инфекция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B51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Лихорадка, экзантема, полиадения, гепатолиенальный синдром, энцефалит.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90A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Серологические методы исследования.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9FC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Герпетическая ангина, диарея, лимфаденит менее выражен. </w:t>
            </w:r>
          </w:p>
          <w:p w14:paraId="579E5CD9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Серология в нарастающем титре.</w:t>
            </w:r>
          </w:p>
        </w:tc>
      </w:tr>
      <w:tr w:rsidR="009D4C87" w14:paraId="6CEACF79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FB4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Сепсис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85D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Лихорадка, интоксикация, полиорганность проявлений, экзантема, менингит, отит, синусит, пневмонии.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514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Выделение возбудителя из крови и др. материала.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743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Наличие первичного очага (кожа, легкие, кишечник и др.). </w:t>
            </w:r>
          </w:p>
          <w:p w14:paraId="7CC6AD1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Выделение возбудителя из крови и др. материала, отрицательный тест на ВИЧ-АТ, гипогаммаглобулинемия, нормальное количество СД-4.</w:t>
            </w:r>
          </w:p>
        </w:tc>
      </w:tr>
      <w:tr w:rsidR="009D4C87" w14:paraId="5248B3B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54D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Хронический вирусный гепатит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582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Снижение аппетита, увеличение печени, селезенки, полиадения, желтуха.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E75F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Обследование на наличие маркеров ВГ.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167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Связь с перенесенным вирусным гепатитом, симптоматика выражена умеренно, полиорганность не характерна. </w:t>
            </w:r>
          </w:p>
          <w:p w14:paraId="5D4C46E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Маркеры ВГ (А, В, С, Д) в сыворотке крови, </w:t>
            </w:r>
            <w:r>
              <w:lastRenderedPageBreak/>
              <w:t>снижение СД-8, уровень СД-4 нормальный.</w:t>
            </w:r>
          </w:p>
        </w:tc>
      </w:tr>
      <w:tr w:rsidR="009D4C87" w14:paraId="2EEAABB0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B8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Кишечная инфекция, сальмонеллез (генерализованная форма).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DD3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Диарея, потеря массы, лихорадка, интоксикация, наличие очагов в других органах (менингит, пневмония)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00F1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Посевы кала, крови, серология (РПГА)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F59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Генерализованные формы развиваются только у детей первых месяцев жизни. </w:t>
            </w:r>
          </w:p>
          <w:p w14:paraId="14988C1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Преморбидный фон отягощен, чаще внутрибольничная инфекция. </w:t>
            </w:r>
          </w:p>
          <w:p w14:paraId="3B43B10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Положительные посевы кала, крови, серология (РПГА)</w:t>
            </w:r>
          </w:p>
        </w:tc>
      </w:tr>
      <w:tr w:rsidR="009D4C87" w14:paraId="65885F8A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527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Глистные инвазии.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26D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Снижение аппетита, вялость, снижение массы тела, диарея, полиадения.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6D7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Обследование кала, дуоденального содержания, мокроты, мочи на наличие гельминтов.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DE4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Эпидемиология, синдром мальабсорбции не характерен. </w:t>
            </w:r>
          </w:p>
          <w:p w14:paraId="0696E2D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Обнаружение личинок гельминтов в кале, дуоденальном содержимом, мокроте, моче.</w:t>
            </w:r>
          </w:p>
        </w:tc>
      </w:tr>
      <w:tr w:rsidR="009D4C87" w14:paraId="7D94CF24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156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Туберкулез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522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Полиадения, интоксикация, поражение легких, ЦНС, лихорадка, потеря массы тела, слабость, гепатолиенальный синдром.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7E2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Бактериологические исследования биоматериала, </w:t>
            </w:r>
            <w:r>
              <w:rPr>
                <w:lang w:val="en-US"/>
              </w:rPr>
              <w:t>Rg</w:t>
            </w:r>
            <w:r>
              <w:t>-исследование легких, туберкулиновые пробы.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86A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Эпиданамнез, наличие первичного комплекса в легких. </w:t>
            </w:r>
          </w:p>
          <w:p w14:paraId="6862634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Бактериология - выделение БК из мокроты, </w:t>
            </w:r>
          </w:p>
          <w:p w14:paraId="21874D8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Rg</w:t>
            </w:r>
            <w:r>
              <w:t xml:space="preserve">-исследование легких (очаги, каверны). </w:t>
            </w:r>
          </w:p>
          <w:p w14:paraId="5EB5C00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Положительные туберкулиновые пробы.</w:t>
            </w:r>
          </w:p>
        </w:tc>
      </w:tr>
      <w:tr w:rsidR="009D4C87" w14:paraId="468DEA62" w14:textId="77777777" w:rsidTr="00FF409B"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88E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Эпидемический паротит и паротиты другой этиологии.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8E7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Увеличение околоушных слюнных желез.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399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Серологические исследования. </w:t>
            </w:r>
            <w:r>
              <w:rPr>
                <w:lang w:val="en-US"/>
              </w:rPr>
              <w:t>Rg</w:t>
            </w:r>
            <w:r>
              <w:t>-логические методы исследования.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0F39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При эпидпаротите: возникает остро, проходит в течение 10 дней, могут вовлекаться другие слюнные железы, орхиты, панкреатиты. </w:t>
            </w:r>
          </w:p>
          <w:p w14:paraId="22ACC33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При опухоли, слюннокаменной болезни - процесс односторонний. </w:t>
            </w:r>
          </w:p>
          <w:p w14:paraId="58CAEA9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Серологические исследования с нарастанием титра антител (РИГА). </w:t>
            </w:r>
          </w:p>
          <w:p w14:paraId="7B960D6C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Изменения в легких.</w:t>
            </w:r>
          </w:p>
        </w:tc>
      </w:tr>
    </w:tbl>
    <w:p w14:paraId="6D688364" w14:textId="2CE0D4F4" w:rsidR="009D4C87" w:rsidRDefault="009D4C87"/>
    <w:p w14:paraId="7FA01044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3. Тактика лечения на амбулаторном уровне</w:t>
      </w:r>
      <w:r>
        <w:t xml:space="preserve"> [2-18]:</w:t>
      </w:r>
    </w:p>
    <w:p w14:paraId="3A9D0939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Курс лечения </w:t>
      </w:r>
      <w:r>
        <w:rPr>
          <w:lang w:val="en-US"/>
        </w:rPr>
        <w:t>APT</w:t>
      </w:r>
      <w:r>
        <w:t>: пожизненный, на амбулаторном уровне, в схеме лечения применяется не менее трех препаратов (исключение см ниже), кратность приема АРВ препаратов зависит от формы выпуска.</w:t>
      </w:r>
    </w:p>
    <w:p w14:paraId="3577A7C0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АРТ следует начинать у всех детей с ВИЧ - инфекцией, независимо от клинической стадии заболевания по классификации ВОЗ и при любом количестве клеток </w:t>
      </w:r>
      <w:r>
        <w:rPr>
          <w:lang w:val="en-US"/>
        </w:rPr>
        <w:t>CD</w:t>
      </w:r>
      <w:r>
        <w:t>4.</w:t>
      </w:r>
    </w:p>
    <w:p w14:paraId="4A6B34A2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lastRenderedPageBreak/>
        <w:t xml:space="preserve">3.1 Немедикаментозное лечение: </w:t>
      </w:r>
    </w:p>
    <w:p w14:paraId="0DCF1A6C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Режим, диета:</w:t>
      </w:r>
    </w:p>
    <w:p w14:paraId="5D356677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Регулярная оценка статуса питания и связанных с ним симптомов имеет большое значение для раннего выявления нарушений питания и задержки физического развития, и является частью планового клинического мониторинга ВИЧ-инфицированных детей.</w:t>
      </w:r>
    </w:p>
    <w:p w14:paraId="64A8DD23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У детей 1 года жизни оценку питания проводят раз в 1 месяц, у более старших детей - раз в три месяца. </w:t>
      </w:r>
    </w:p>
    <w:p w14:paraId="3D3875DC" w14:textId="77777777" w:rsidR="009D4C87" w:rsidRDefault="009D4C87" w:rsidP="009D4C87">
      <w:pPr>
        <w:autoSpaceDE w:val="0"/>
        <w:autoSpaceDN w:val="0"/>
        <w:ind w:firstLine="397"/>
        <w:jc w:val="both"/>
      </w:pPr>
      <w:r>
        <w:t>При этом оценивают:</w:t>
      </w:r>
    </w:p>
    <w:p w14:paraId="3A0E5336" w14:textId="77777777" w:rsidR="009D4C87" w:rsidRDefault="009D4C87" w:rsidP="009D4C87">
      <w:pPr>
        <w:autoSpaceDE w:val="0"/>
        <w:autoSpaceDN w:val="0"/>
        <w:ind w:firstLine="397"/>
        <w:jc w:val="both"/>
      </w:pPr>
      <w:r>
        <w:t>- тип вскармливания;</w:t>
      </w:r>
    </w:p>
    <w:p w14:paraId="529B13BC" w14:textId="77777777" w:rsidR="009D4C87" w:rsidRDefault="009D4C87" w:rsidP="009D4C87">
      <w:pPr>
        <w:autoSpaceDE w:val="0"/>
        <w:autoSpaceDN w:val="0"/>
        <w:ind w:firstLine="397"/>
        <w:jc w:val="both"/>
      </w:pPr>
      <w:r>
        <w:t>- частоту и длительность кормлений, объема съеденной пищи;</w:t>
      </w:r>
    </w:p>
    <w:p w14:paraId="2250FA53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полноценность рациона.</w:t>
      </w:r>
    </w:p>
    <w:p w14:paraId="17A012A1" w14:textId="77777777" w:rsidR="009D4C87" w:rsidRDefault="009D4C87" w:rsidP="009D4C87">
      <w:pPr>
        <w:autoSpaceDE w:val="0"/>
        <w:autoSpaceDN w:val="0"/>
        <w:ind w:firstLine="397"/>
        <w:jc w:val="both"/>
      </w:pPr>
      <w:r>
        <w:t>У детей с бессимптомным течением ВИЧ-инфекции рекомендуется повысить калорийность рациона на 10% от нормы для данного возраста и пола. У детей с клиническими проявлениями ВИЧ-инфекции и реконвалесцентов после острых инфекций, калорийность рациона нужно увеличить на 20-30% от нормы. У детей с непереносимостью лактозы и белков коровьего молока (далее - БКМ) рекомендуется использовать молочные смеси, не содержащие лактозы и БКМ.</w:t>
      </w:r>
    </w:p>
    <w:p w14:paraId="72F7611C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3.2 Медикаментозное лечение: </w:t>
      </w:r>
    </w:p>
    <w:p w14:paraId="175558F9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Этиотропная терапия:</w:t>
      </w:r>
    </w:p>
    <w:p w14:paraId="40430E37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НИОТ с целью подавления обратной транскриптазы - фермента ВИЧ:</w:t>
      </w:r>
    </w:p>
    <w:p w14:paraId="678531F0" w14:textId="77777777" w:rsidR="009D4C87" w:rsidRDefault="009D4C87" w:rsidP="009D4C87">
      <w:pPr>
        <w:autoSpaceDE w:val="0"/>
        <w:autoSpaceDN w:val="0"/>
        <w:ind w:firstLine="397"/>
        <w:jc w:val="both"/>
      </w:pPr>
      <w:r w:rsidRPr="006C35BC">
        <w:rPr>
          <w:b/>
          <w:bCs/>
        </w:rPr>
        <w:t>Абакавир (</w:t>
      </w:r>
      <w:r w:rsidRPr="006C35BC">
        <w:rPr>
          <w:b/>
          <w:bCs/>
          <w:lang w:val="en-US"/>
        </w:rPr>
        <w:t>ABC</w:t>
      </w:r>
      <w:r w:rsidRPr="006C35BC">
        <w:rPr>
          <w:b/>
          <w:bCs/>
        </w:rPr>
        <w:t>)</w:t>
      </w:r>
      <w:r w:rsidRPr="006C35BC">
        <w:t xml:space="preserve"> - таблетка 300 мг, раствор для приема внутрь 20 мг/мл</w:t>
      </w:r>
      <w:r>
        <w:t xml:space="preserve">. </w:t>
      </w:r>
    </w:p>
    <w:p w14:paraId="7BD9BBD8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доза:</w:t>
      </w:r>
    </w:p>
    <w:p w14:paraId="6B0850BE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Возраст младше 16 лет или вес меньше 37,5 кг: 8 мг/кг 2 раза в сутки.</w:t>
      </w:r>
    </w:p>
    <w:p w14:paraId="390E6BDB" w14:textId="77777777" w:rsidR="009D4C87" w:rsidRDefault="009D4C87" w:rsidP="009D4C87">
      <w:pPr>
        <w:autoSpaceDE w:val="0"/>
        <w:autoSpaceDN w:val="0"/>
        <w:ind w:firstLine="397"/>
        <w:jc w:val="both"/>
      </w:pPr>
      <w:r>
        <w:t>Максимальная доза - 300 мг 2 раза в сутки.</w:t>
      </w:r>
    </w:p>
    <w:p w14:paraId="794C7A82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Ламивудин (3ТС)</w:t>
      </w:r>
      <w:r>
        <w:t xml:space="preserve"> - таблетка 100 мг, 150 мг, сироп 5 мг/мл.</w:t>
      </w:r>
    </w:p>
    <w:p w14:paraId="0604D826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доза:</w:t>
      </w:r>
    </w:p>
    <w:p w14:paraId="02E4D44B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Возраст младше 30 дней: 2 мг/кг 2 раза в сутки; </w:t>
      </w:r>
    </w:p>
    <w:p w14:paraId="1FB0F459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Возраст старше 30 дней: 4 мг/кг 2 раза в сутки;</w:t>
      </w:r>
    </w:p>
    <w:p w14:paraId="629ACF87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Вес более 50 кг: 150 мг 2 раза в сутки.</w:t>
      </w:r>
    </w:p>
    <w:p w14:paraId="68184CAD" w14:textId="77777777" w:rsidR="009D4C87" w:rsidRDefault="009D4C87" w:rsidP="009D4C87">
      <w:pPr>
        <w:autoSpaceDE w:val="0"/>
        <w:autoSpaceDN w:val="0"/>
        <w:ind w:firstLine="397"/>
        <w:jc w:val="both"/>
      </w:pPr>
      <w:r>
        <w:t>Максимальная доза - 150 мг 2 раза в сутки.</w:t>
      </w:r>
    </w:p>
    <w:p w14:paraId="07427280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Тенофовир (</w:t>
      </w:r>
      <w:r>
        <w:rPr>
          <w:b/>
          <w:bCs/>
          <w:lang w:val="en-US"/>
        </w:rPr>
        <w:t>TDF</w:t>
      </w:r>
      <w:r>
        <w:rPr>
          <w:b/>
          <w:bCs/>
        </w:rPr>
        <w:t>)</w:t>
      </w:r>
      <w:r>
        <w:t xml:space="preserve"> - таблетка 300 мг.</w:t>
      </w:r>
    </w:p>
    <w:p w14:paraId="1B2F5053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 - 300 мг в сутки для детей в возрасте 12 лет и старше.</w:t>
      </w:r>
    </w:p>
    <w:p w14:paraId="01293FFF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**Тенофовира алафенамид (</w:t>
      </w:r>
      <w:r>
        <w:rPr>
          <w:b/>
          <w:bCs/>
          <w:lang w:val="en-US"/>
        </w:rPr>
        <w:t>TAF</w:t>
      </w:r>
      <w:r>
        <w:rPr>
          <w:b/>
          <w:bCs/>
        </w:rPr>
        <w:t>)</w:t>
      </w:r>
      <w:r>
        <w:t xml:space="preserve"> - таблетка 25 мг.</w:t>
      </w:r>
    </w:p>
    <w:p w14:paraId="2688C3D3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 - 25 мг в сутки для детей в возрасте 12 лет и старше.</w:t>
      </w:r>
    </w:p>
    <w:p w14:paraId="67CD333E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Зидовудин (</w:t>
      </w:r>
      <w:r>
        <w:rPr>
          <w:b/>
          <w:bCs/>
          <w:lang w:val="en-US"/>
        </w:rPr>
        <w:t>AZT</w:t>
      </w:r>
      <w:r>
        <w:rPr>
          <w:b/>
          <w:bCs/>
        </w:rPr>
        <w:t>)</w:t>
      </w:r>
      <w:r>
        <w:t xml:space="preserve"> - капсула 100 мг, сироп 10 мг/мл (50 мг/5 мл), таблетка 300 мг.</w:t>
      </w:r>
    </w:p>
    <w:p w14:paraId="4633C2B4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 - раствор для приема внутрь: 180-240 мг/м</w:t>
      </w:r>
      <w:r>
        <w:rPr>
          <w:vertAlign w:val="superscript"/>
        </w:rPr>
        <w:t>2</w:t>
      </w:r>
      <w:r>
        <w:t xml:space="preserve"> 2 раза в сутки (суточная доза 360-480 мг/м</w:t>
      </w:r>
      <w:r>
        <w:rPr>
          <w:vertAlign w:val="superscript"/>
        </w:rPr>
        <w:t>2</w:t>
      </w:r>
      <w:r>
        <w:t>).</w:t>
      </w:r>
    </w:p>
    <w:p w14:paraId="4AC14836" w14:textId="77777777" w:rsidR="009D4C87" w:rsidRDefault="009D4C87" w:rsidP="009D4C87">
      <w:pPr>
        <w:autoSpaceDE w:val="0"/>
        <w:autoSpaceDN w:val="0"/>
        <w:ind w:firstLine="397"/>
        <w:jc w:val="both"/>
      </w:pPr>
      <w:r>
        <w:t>У детей с поражением нервной системы используют максимальные терапевтические дозы - 300 мг 2 раза в сутки.</w:t>
      </w:r>
    </w:p>
    <w:p w14:paraId="73FC0AC4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ННИОТ с целью усиления действия НИОТ при подавлении обратной транскриптазы - фермента ВИЧ:</w:t>
      </w:r>
    </w:p>
    <w:p w14:paraId="27360887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Эфавиренз (</w:t>
      </w:r>
      <w:r>
        <w:rPr>
          <w:b/>
          <w:bCs/>
          <w:lang w:val="en-US"/>
        </w:rPr>
        <w:t>EFV</w:t>
      </w:r>
      <w:r>
        <w:rPr>
          <w:b/>
          <w:bCs/>
        </w:rPr>
        <w:t>)</w:t>
      </w:r>
      <w:r>
        <w:t xml:space="preserve"> - таблетка 50 мг, 200 мг, 600 мг, 400 мг.</w:t>
      </w:r>
    </w:p>
    <w:p w14:paraId="5EF1D851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доза:</w:t>
      </w:r>
    </w:p>
    <w:p w14:paraId="7F047AE2" w14:textId="77777777" w:rsidR="009D4C87" w:rsidRDefault="009D4C87" w:rsidP="009D4C87">
      <w:pPr>
        <w:autoSpaceDE w:val="0"/>
        <w:autoSpaceDN w:val="0"/>
        <w:ind w:firstLine="397"/>
        <w:jc w:val="both"/>
      </w:pPr>
      <w:r>
        <w:t>- раствор для приема внутрь: 19,5 мг/кг в сутки; - капсулы или таблетки: 15 мг/кг 1 раз в сутки;</w:t>
      </w:r>
    </w:p>
    <w:p w14:paraId="69EB19AC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вес более 40 кг: 600 мг 1 раз в сутки.</w:t>
      </w:r>
    </w:p>
    <w:p w14:paraId="7B44D923" w14:textId="77777777" w:rsidR="009D4C87" w:rsidRDefault="009D4C87" w:rsidP="009D4C87">
      <w:pPr>
        <w:autoSpaceDE w:val="0"/>
        <w:autoSpaceDN w:val="0"/>
        <w:ind w:firstLine="397"/>
        <w:jc w:val="both"/>
      </w:pPr>
      <w:r>
        <w:t>Максимальная доза - 600 мг 1 раз в сутки.</w:t>
      </w:r>
    </w:p>
    <w:p w14:paraId="1B4B0502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Этравирин (</w:t>
      </w:r>
      <w:r>
        <w:rPr>
          <w:b/>
          <w:bCs/>
          <w:lang w:val="en-US"/>
        </w:rPr>
        <w:t>ETV</w:t>
      </w:r>
      <w:r>
        <w:rPr>
          <w:b/>
          <w:bCs/>
        </w:rPr>
        <w:t>)</w:t>
      </w:r>
      <w:r>
        <w:t xml:space="preserve"> - таблетка 100 и 200 мг</w:t>
      </w:r>
    </w:p>
    <w:p w14:paraId="280BE9C8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доза:</w:t>
      </w:r>
    </w:p>
    <w:p w14:paraId="6C145F24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вес от 10 кг до &lt;20 кг: 100 мг этравирина 2 раза в сутки;</w:t>
      </w:r>
    </w:p>
    <w:p w14:paraId="6492DED6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вес от 20 кг до &lt;25 кг: 125 мг этравирина 2 раза в сутки*;</w:t>
      </w:r>
    </w:p>
    <w:p w14:paraId="717BB432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вес от 25 кг до &lt;30 кг: 150 мг этравирина 2 раза в сутки*;</w:t>
      </w:r>
    </w:p>
    <w:p w14:paraId="31BCD70E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вес &gt;30 кг: 200 мг этравирина 2 раза в сутки.</w:t>
      </w:r>
    </w:p>
    <w:p w14:paraId="3492F559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i/>
          <w:iCs/>
        </w:rPr>
        <w:t>* необходимо использовать таблетки с дозировкой 25 мг (применять после регистрации на территории РК).</w:t>
      </w:r>
    </w:p>
    <w:p w14:paraId="04DB3931" w14:textId="77777777" w:rsidR="009D4C87" w:rsidRDefault="009D4C87" w:rsidP="009D4C87">
      <w:pPr>
        <w:autoSpaceDE w:val="0"/>
        <w:autoSpaceDN w:val="0"/>
        <w:ind w:firstLine="397"/>
        <w:jc w:val="both"/>
      </w:pPr>
      <w:r>
        <w:lastRenderedPageBreak/>
        <w:t>Максимальная доза - 200 мг 2 раза в сутки.</w:t>
      </w:r>
    </w:p>
    <w:p w14:paraId="692DC8D1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Рилпивирин (</w:t>
      </w:r>
      <w:r>
        <w:rPr>
          <w:b/>
          <w:bCs/>
          <w:lang w:val="en-US"/>
        </w:rPr>
        <w:t>RPV</w:t>
      </w:r>
      <w:r>
        <w:t>) - таблетка 25 мг.</w:t>
      </w:r>
    </w:p>
    <w:p w14:paraId="1C7DE6B9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 - 25 мг в сутки для детей в возрасте 12 лет и старше, 35 кг и более.</w:t>
      </w:r>
    </w:p>
    <w:p w14:paraId="25091728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ИП с целью подавления функции протеазы ВИЧ:</w:t>
      </w:r>
    </w:p>
    <w:p w14:paraId="68CA2C1A" w14:textId="77777777" w:rsidR="009D4C87" w:rsidRDefault="009D4C87" w:rsidP="009D4C87">
      <w:pPr>
        <w:autoSpaceDE w:val="0"/>
        <w:autoSpaceDN w:val="0"/>
        <w:ind w:firstLine="397"/>
        <w:jc w:val="both"/>
      </w:pPr>
      <w:r>
        <w:t>Все ИП назначают вместе с фармакологическим усилителем - низкой дозой ритонавира.</w:t>
      </w:r>
    </w:p>
    <w:p w14:paraId="2F0AC1BB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Лопинавир/ритонавир (</w:t>
      </w:r>
      <w:r>
        <w:rPr>
          <w:b/>
          <w:bCs/>
          <w:lang w:val="en-US"/>
        </w:rPr>
        <w:t>LPV</w:t>
      </w:r>
      <w:r>
        <w:rPr>
          <w:b/>
          <w:bCs/>
        </w:rPr>
        <w:t>/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) </w:t>
      </w:r>
      <w:r>
        <w:t>- таблетка 100/25 мг, 200/50 мг, раствор для приема внутрь 60 мл.</w:t>
      </w:r>
    </w:p>
    <w:p w14:paraId="4AB6E612" w14:textId="77777777" w:rsidR="009D4C87" w:rsidRDefault="009D4C87" w:rsidP="009D4C87">
      <w:pPr>
        <w:autoSpaceDE w:val="0"/>
        <w:autoSpaceDN w:val="0"/>
        <w:ind w:firstLine="397"/>
        <w:jc w:val="both"/>
      </w:pPr>
      <w:r>
        <w:t>Рекомендуемая доза лопинавира: 230-350 мг/м</w:t>
      </w:r>
      <w:r>
        <w:rPr>
          <w:vertAlign w:val="superscript"/>
        </w:rPr>
        <w:t>2</w:t>
      </w:r>
      <w:r>
        <w:t xml:space="preserve"> - 2 раза в сутки.</w:t>
      </w:r>
    </w:p>
    <w:p w14:paraId="65A510C9" w14:textId="77777777" w:rsidR="009D4C87" w:rsidRDefault="009D4C87" w:rsidP="009D4C87">
      <w:pPr>
        <w:autoSpaceDE w:val="0"/>
        <w:autoSpaceDN w:val="0"/>
        <w:ind w:firstLine="397"/>
        <w:jc w:val="both"/>
      </w:pPr>
      <w:r>
        <w:t>Максимальная доза - лопинавир 400 мг + ритонавир 100 мг, 2 раза в сутки.</w:t>
      </w:r>
    </w:p>
    <w:p w14:paraId="0881DD78" w14:textId="77777777" w:rsidR="009D4C87" w:rsidRPr="00016079" w:rsidRDefault="009D4C87" w:rsidP="009D4C87">
      <w:pPr>
        <w:autoSpaceDE w:val="0"/>
        <w:autoSpaceDN w:val="0"/>
        <w:ind w:firstLine="397"/>
        <w:jc w:val="both"/>
      </w:pPr>
      <w:r w:rsidRPr="00016079">
        <w:rPr>
          <w:b/>
          <w:bCs/>
        </w:rPr>
        <w:t>Дарунавир (</w:t>
      </w:r>
      <w:r w:rsidRPr="00016079">
        <w:rPr>
          <w:b/>
          <w:bCs/>
          <w:lang w:val="en-US"/>
        </w:rPr>
        <w:t>DRV</w:t>
      </w:r>
      <w:r w:rsidRPr="00016079">
        <w:rPr>
          <w:b/>
          <w:bCs/>
        </w:rPr>
        <w:t>+с)</w:t>
      </w:r>
      <w:r w:rsidRPr="00016079">
        <w:t xml:space="preserve"> - таблетка 800мг/150мг</w:t>
      </w:r>
    </w:p>
    <w:p w14:paraId="7919EE07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Возраст от 12 лет и вес от 40 кг: 800мг/150мг один раз в сутки.</w:t>
      </w:r>
    </w:p>
    <w:p w14:paraId="72CD6D8A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**Атазанавир, (необходимо усилить ритонавиром) (</w:t>
      </w:r>
      <w:r>
        <w:rPr>
          <w:b/>
          <w:bCs/>
          <w:lang w:val="en-US"/>
        </w:rPr>
        <w:t>ATV</w:t>
      </w:r>
      <w:r>
        <w:rPr>
          <w:b/>
          <w:bCs/>
        </w:rPr>
        <w:t>+</w:t>
      </w:r>
      <w:r>
        <w:rPr>
          <w:b/>
          <w:bCs/>
          <w:lang w:val="en-US"/>
        </w:rPr>
        <w:t>r</w:t>
      </w:r>
      <w:r>
        <w:rPr>
          <w:b/>
          <w:bCs/>
        </w:rPr>
        <w:t>)</w:t>
      </w:r>
      <w:r>
        <w:t xml:space="preserve"> - в дозе 100, 150 мг 1 раз в сутки.</w:t>
      </w:r>
    </w:p>
    <w:p w14:paraId="4DF02FA8" w14:textId="77777777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  <w:r>
        <w:rPr>
          <w:b/>
          <w:bCs/>
        </w:rPr>
        <w:t xml:space="preserve">ИИ с целью блокирования фермента ВИЧ, участвующий во встраивании провирусной ДНК в геном клетки-мишени: </w:t>
      </w:r>
    </w:p>
    <w:p w14:paraId="126128DC" w14:textId="77777777" w:rsidR="009D4C87" w:rsidRDefault="009D4C87" w:rsidP="009D4C87">
      <w:pPr>
        <w:autoSpaceDE w:val="0"/>
        <w:autoSpaceDN w:val="0"/>
        <w:jc w:val="both"/>
      </w:pPr>
      <w:r>
        <w:rPr>
          <w:b/>
          <w:bCs/>
        </w:rPr>
        <w:t xml:space="preserve">      Долутегравир (</w:t>
      </w:r>
      <w:r>
        <w:rPr>
          <w:b/>
          <w:bCs/>
          <w:lang w:val="en-US"/>
        </w:rPr>
        <w:t>DTG</w:t>
      </w:r>
      <w:r>
        <w:rPr>
          <w:b/>
          <w:bCs/>
        </w:rPr>
        <w:t xml:space="preserve">) - </w:t>
      </w:r>
      <w:r>
        <w:t>т</w:t>
      </w:r>
      <w:r w:rsidRPr="00C30B47">
        <w:t>аблетки диспергируемые, 5 мг</w:t>
      </w:r>
    </w:p>
    <w:p w14:paraId="346937D2" w14:textId="77777777" w:rsidR="009D4C87" w:rsidRDefault="009D4C87" w:rsidP="009D4C87">
      <w:pPr>
        <w:autoSpaceDE w:val="0"/>
        <w:autoSpaceDN w:val="0"/>
        <w:jc w:val="both"/>
      </w:pPr>
      <w:r>
        <w:t xml:space="preserve">      Возраст от 4 недель и весом не менее 3 кг:</w:t>
      </w:r>
    </w:p>
    <w:p w14:paraId="438F3A19" w14:textId="77777777" w:rsidR="009D4C87" w:rsidRDefault="009D4C87" w:rsidP="009D4C87">
      <w:pPr>
        <w:autoSpaceDE w:val="0"/>
        <w:autoSpaceDN w:val="0"/>
        <w:ind w:left="426"/>
        <w:jc w:val="both"/>
      </w:pPr>
      <w:r>
        <w:t>- от 3 до 6 кг: 5 мг один раз сутки;</w:t>
      </w:r>
    </w:p>
    <w:p w14:paraId="68B49D82" w14:textId="77777777" w:rsidR="009D4C87" w:rsidRDefault="009D4C87" w:rsidP="009D4C87">
      <w:pPr>
        <w:autoSpaceDE w:val="0"/>
        <w:autoSpaceDN w:val="0"/>
        <w:ind w:left="426"/>
        <w:jc w:val="both"/>
      </w:pPr>
      <w:r>
        <w:t xml:space="preserve">- от 6 до менее 10 кг </w:t>
      </w:r>
    </w:p>
    <w:p w14:paraId="740B688D" w14:textId="77777777" w:rsidR="009D4C87" w:rsidRDefault="009D4C87" w:rsidP="009D4C87">
      <w:pPr>
        <w:autoSpaceDE w:val="0"/>
        <w:autoSpaceDN w:val="0"/>
        <w:ind w:left="426"/>
        <w:jc w:val="both"/>
      </w:pPr>
      <w:r>
        <w:t xml:space="preserve">&lt; 6 месяцев: 10 мг один раз в сутки </w:t>
      </w:r>
    </w:p>
    <w:p w14:paraId="74B6F1BD" w14:textId="77777777" w:rsidR="009D4C87" w:rsidRDefault="009D4C87" w:rsidP="009D4C87">
      <w:pPr>
        <w:autoSpaceDE w:val="0"/>
        <w:autoSpaceDN w:val="0"/>
        <w:ind w:left="426"/>
        <w:jc w:val="both"/>
      </w:pPr>
      <w:r>
        <w:t>≥ 6 месяцев: 15 мг один раз в сутки;</w:t>
      </w:r>
    </w:p>
    <w:p w14:paraId="2964DE11" w14:textId="77777777" w:rsidR="009D4C87" w:rsidRDefault="009D4C87" w:rsidP="009D4C87">
      <w:pPr>
        <w:autoSpaceDE w:val="0"/>
        <w:autoSpaceDN w:val="0"/>
        <w:ind w:left="426"/>
        <w:jc w:val="both"/>
      </w:pPr>
      <w:r>
        <w:t>- от 10 до 14 кг: 20 мг один раз в сутки;</w:t>
      </w:r>
    </w:p>
    <w:p w14:paraId="1DA7F623" w14:textId="77777777" w:rsidR="009D4C87" w:rsidRDefault="009D4C87" w:rsidP="009D4C87">
      <w:pPr>
        <w:autoSpaceDE w:val="0"/>
        <w:autoSpaceDN w:val="0"/>
        <w:ind w:left="426"/>
        <w:jc w:val="both"/>
      </w:pPr>
      <w:r>
        <w:t>- от 20 и более: 30 мг один раз в сутки;</w:t>
      </w:r>
    </w:p>
    <w:p w14:paraId="4F9A6CE3" w14:textId="77777777" w:rsidR="009D4C87" w:rsidRDefault="009D4C87" w:rsidP="009D4C87">
      <w:pPr>
        <w:autoSpaceDE w:val="0"/>
        <w:autoSpaceDN w:val="0"/>
        <w:ind w:left="426"/>
        <w:jc w:val="both"/>
      </w:pPr>
      <w:r>
        <w:rPr>
          <w:b/>
          <w:bCs/>
        </w:rPr>
        <w:t>Долутегравир (</w:t>
      </w:r>
      <w:r>
        <w:rPr>
          <w:b/>
          <w:bCs/>
          <w:lang w:val="en-US"/>
        </w:rPr>
        <w:t>DTG</w:t>
      </w:r>
      <w:r>
        <w:rPr>
          <w:b/>
          <w:bCs/>
        </w:rPr>
        <w:t>)</w:t>
      </w:r>
      <w:r>
        <w:t xml:space="preserve"> - таблетка 10 мг, 25 мг, 50 мг. </w:t>
      </w:r>
    </w:p>
    <w:p w14:paraId="725027F0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Возраст от 6 лет и вес:</w:t>
      </w:r>
    </w:p>
    <w:p w14:paraId="08191C79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15 до 20 кг: 20 мг один раз в сутки;</w:t>
      </w:r>
    </w:p>
    <w:p w14:paraId="46661237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20 до 30 кг: 25 мг один раз в сутки;</w:t>
      </w:r>
    </w:p>
    <w:p w14:paraId="54D5B407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30 до 40 кг: 35 мг один раз в сутки.</w:t>
      </w:r>
    </w:p>
    <w:p w14:paraId="25684789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Возраст от 12 лет и вес от 40 кг: 50 мг один раз в сутки.</w:t>
      </w:r>
    </w:p>
    <w:p w14:paraId="2C8D2830" w14:textId="6308F46E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Ралтегравир (</w:t>
      </w:r>
      <w:r>
        <w:rPr>
          <w:b/>
          <w:bCs/>
          <w:lang w:val="en-US"/>
        </w:rPr>
        <w:t>RAL</w:t>
      </w:r>
      <w:r>
        <w:rPr>
          <w:b/>
          <w:bCs/>
        </w:rPr>
        <w:t>)</w:t>
      </w:r>
      <w:r>
        <w:t xml:space="preserve"> - таблетка 25 мг, 100 мг, 400 мг</w:t>
      </w:r>
      <w:r w:rsidR="00CC5D56">
        <w:t>, гранулы для пероральной суспензии.</w:t>
      </w:r>
    </w:p>
    <w:p w14:paraId="69961166" w14:textId="1154345A" w:rsidR="00CC5D56" w:rsidRDefault="00CC5D56" w:rsidP="009D4C87">
      <w:pPr>
        <w:autoSpaceDE w:val="0"/>
        <w:autoSpaceDN w:val="0"/>
        <w:ind w:firstLine="397"/>
        <w:jc w:val="both"/>
      </w:pPr>
      <w:r w:rsidRPr="00CC5D56">
        <w:t>Младенцы и дети</w:t>
      </w:r>
      <w:r>
        <w:t xml:space="preserve"> 0-</w:t>
      </w:r>
      <w:r w:rsidRPr="00CC5D56">
        <w:t>4 недел</w:t>
      </w:r>
      <w:r>
        <w:t>и</w:t>
      </w:r>
      <w:r w:rsidRPr="00CC5D56">
        <w:t>: пероральная суспензия 6 мг/кг каждые 12 ч</w:t>
      </w:r>
      <w:r>
        <w:t>асов (</w:t>
      </w:r>
      <w:r w:rsidRPr="00CC5D56">
        <w:t>для приготовления раствора в концентрации 20 мг/мл к пакету 100 мг добавить 5 мл воды</w:t>
      </w:r>
      <w:r>
        <w:t>).</w:t>
      </w:r>
    </w:p>
    <w:p w14:paraId="3E4B95F9" w14:textId="77777777" w:rsidR="009D4C87" w:rsidRDefault="009D4C87" w:rsidP="009D4C87">
      <w:pPr>
        <w:autoSpaceDE w:val="0"/>
        <w:autoSpaceDN w:val="0"/>
        <w:ind w:firstLine="397"/>
        <w:jc w:val="both"/>
      </w:pPr>
      <w:r>
        <w:t>Препарат в форме жевательных таблеток 25 мг и 100 мг для применения у детей в возрасте 2-11 лет и массе тела более 11 кг.</w:t>
      </w:r>
    </w:p>
    <w:p w14:paraId="74C557CE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11 до 14 кг: 75 мг 2 раза в день;</w:t>
      </w:r>
    </w:p>
    <w:p w14:paraId="51C67EAF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14 до 20 кг: 100 мг 2 раза в день;</w:t>
      </w:r>
    </w:p>
    <w:p w14:paraId="46F6DB5C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20 до 28 кг: 150 мг 2 раза в день;</w:t>
      </w:r>
    </w:p>
    <w:p w14:paraId="074A45D2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28 до 40 кг: 200 мг 2 раза в день;</w:t>
      </w:r>
    </w:p>
    <w:p w14:paraId="47654442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40 и выше: 300 мг 2 раза в день.</w:t>
      </w:r>
    </w:p>
    <w:p w14:paraId="12F86FF2" w14:textId="77777777" w:rsidR="009D4C87" w:rsidRDefault="009D4C87" w:rsidP="009D4C87">
      <w:pPr>
        <w:autoSpaceDE w:val="0"/>
        <w:autoSpaceDN w:val="0"/>
        <w:ind w:firstLine="397"/>
        <w:jc w:val="both"/>
      </w:pPr>
      <w:r>
        <w:t>Нет зависимости от приема пищи. Жевательные таблетки можно делить, имеют более высокую биодоступность.</w:t>
      </w:r>
    </w:p>
    <w:p w14:paraId="5FEB53D4" w14:textId="77777777" w:rsidR="009D4C87" w:rsidRDefault="009D4C87" w:rsidP="009D4C87">
      <w:pPr>
        <w:autoSpaceDE w:val="0"/>
        <w:autoSpaceDN w:val="0"/>
        <w:ind w:firstLine="397"/>
        <w:jc w:val="both"/>
      </w:pPr>
      <w:r>
        <w:t>Препарат в форме таблеток 400 мг рекомендован детям с 6-11 лет с массой тела не менее 25 кг составляет 400 мг* 2 раза/сут.</w:t>
      </w:r>
    </w:p>
    <w:p w14:paraId="61FBDFB4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Доза 800 мг применяется при назначении с рифампицином.</w:t>
      </w:r>
    </w:p>
    <w:p w14:paraId="16C1E79E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>**Биктегравир/Эмтрицитабин/Тенофовира алафенамид (</w:t>
      </w:r>
      <w:r>
        <w:rPr>
          <w:b/>
          <w:bCs/>
          <w:lang w:val="en-US"/>
        </w:rPr>
        <w:t>BIC</w:t>
      </w:r>
      <w:r>
        <w:rPr>
          <w:b/>
          <w:bCs/>
        </w:rPr>
        <w:t>/</w:t>
      </w:r>
      <w:r>
        <w:rPr>
          <w:b/>
          <w:bCs/>
          <w:lang w:val="en-US"/>
        </w:rPr>
        <w:t>FTC</w:t>
      </w:r>
      <w:r>
        <w:rPr>
          <w:b/>
          <w:bCs/>
        </w:rPr>
        <w:t>/</w:t>
      </w:r>
      <w:r>
        <w:rPr>
          <w:b/>
          <w:bCs/>
          <w:lang w:val="en-US"/>
        </w:rPr>
        <w:t>TAF</w:t>
      </w:r>
      <w:r>
        <w:rPr>
          <w:b/>
          <w:bCs/>
        </w:rPr>
        <w:t>)</w:t>
      </w:r>
      <w:r>
        <w:t xml:space="preserve"> - таблетка 50/200/25 мг.</w:t>
      </w:r>
    </w:p>
    <w:p w14:paraId="27DF491B" w14:textId="77777777" w:rsidR="009D4C87" w:rsidRDefault="009D4C87" w:rsidP="009D4C87">
      <w:pPr>
        <w:autoSpaceDE w:val="0"/>
        <w:autoSpaceDN w:val="0"/>
        <w:ind w:firstLine="397"/>
        <w:jc w:val="both"/>
      </w:pPr>
      <w:r>
        <w:t>Возраст ≥12 лет.</w:t>
      </w:r>
    </w:p>
    <w:p w14:paraId="3C0446D5" w14:textId="77777777" w:rsidR="009D4C87" w:rsidRDefault="009D4C87" w:rsidP="009D4C87">
      <w:pPr>
        <w:autoSpaceDE w:val="0"/>
        <w:autoSpaceDN w:val="0"/>
        <w:ind w:firstLine="397"/>
        <w:jc w:val="both"/>
      </w:pPr>
      <w:r>
        <w:t>- от ≥25 кг: 50/200/25 мг один раз в сутки.</w:t>
      </w:r>
    </w:p>
    <w:p w14:paraId="0B1E31CC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i/>
          <w:iCs/>
        </w:rPr>
        <w:t>** при регистрации на территории РК.</w:t>
      </w:r>
    </w:p>
    <w:p w14:paraId="20691F7A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Выбор первой схемы </w:t>
      </w:r>
      <w:r>
        <w:rPr>
          <w:b/>
          <w:bCs/>
          <w:lang w:val="en-US"/>
        </w:rPr>
        <w:t>APT</w:t>
      </w:r>
      <w:r>
        <w:rPr>
          <w:b/>
          <w:bCs/>
        </w:rPr>
        <w:t>:</w:t>
      </w:r>
    </w:p>
    <w:p w14:paraId="7BE93FEB" w14:textId="5866B413" w:rsidR="009D4C87" w:rsidRDefault="009D4C87" w:rsidP="009D4C87">
      <w:pPr>
        <w:autoSpaceDE w:val="0"/>
        <w:autoSpaceDN w:val="0"/>
        <w:ind w:firstLine="397"/>
        <w:jc w:val="both"/>
      </w:pPr>
      <w:r>
        <w:t xml:space="preserve">Детям до 3 лет назначают 2 НИОТ+ </w:t>
      </w:r>
      <w:r w:rsidR="00CC5D56">
        <w:rPr>
          <w:lang w:val="en-US"/>
        </w:rPr>
        <w:t>RAL</w:t>
      </w:r>
      <w:r w:rsidRPr="00016079">
        <w:t>,</w:t>
      </w:r>
      <w:r>
        <w:t xml:space="preserve"> или </w:t>
      </w: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>
        <w:t>.</w:t>
      </w:r>
    </w:p>
    <w:p w14:paraId="3E4607D7" w14:textId="162D1541" w:rsidR="009D4C87" w:rsidRDefault="009D4C87" w:rsidP="009D4C87">
      <w:pPr>
        <w:autoSpaceDE w:val="0"/>
        <w:autoSpaceDN w:val="0"/>
        <w:ind w:firstLine="397"/>
        <w:jc w:val="both"/>
      </w:pPr>
      <w:r>
        <w:t xml:space="preserve">Детям старше 3 лет назначают 2 НИОТ+ </w:t>
      </w:r>
      <w:r>
        <w:rPr>
          <w:lang w:val="en-US"/>
        </w:rPr>
        <w:t>DTG</w:t>
      </w:r>
      <w:r>
        <w:t xml:space="preserve">, или </w:t>
      </w: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 w:rsidR="00C10981">
        <w:t>/</w:t>
      </w:r>
      <w:r w:rsidR="00C10981">
        <w:rPr>
          <w:lang w:val="en-US"/>
        </w:rPr>
        <w:t>RAL</w:t>
      </w:r>
      <w:r>
        <w:t>. Рекомендуемые комбинации 2 НИОТ: 3ТС+АВС; 3</w:t>
      </w:r>
      <w:r>
        <w:rPr>
          <w:lang w:val="en-US"/>
        </w:rPr>
        <w:t>TC</w:t>
      </w:r>
      <w:r>
        <w:t>+</w:t>
      </w:r>
      <w:r>
        <w:rPr>
          <w:lang w:val="en-US"/>
        </w:rPr>
        <w:t>AZT</w:t>
      </w:r>
      <w:r>
        <w:t>.</w:t>
      </w:r>
    </w:p>
    <w:p w14:paraId="7E6A687E" w14:textId="77777777" w:rsidR="009D4C87" w:rsidRDefault="009D4C87" w:rsidP="009D4C87">
      <w:pPr>
        <w:autoSpaceDE w:val="0"/>
        <w:autoSpaceDN w:val="0"/>
        <w:ind w:firstLine="397"/>
        <w:jc w:val="both"/>
      </w:pPr>
      <w:r w:rsidRPr="00C40854">
        <w:lastRenderedPageBreak/>
        <w:t xml:space="preserve">Детям с установленной ВИЧ-энцефалопатией предпочтительно назначить: 2 НИОТ + </w:t>
      </w:r>
      <w:r w:rsidRPr="00C40854">
        <w:rPr>
          <w:lang w:val="en-US"/>
        </w:rPr>
        <w:t>DTG</w:t>
      </w:r>
      <w:r w:rsidRPr="00C40854">
        <w:t xml:space="preserve"> или ИП.</w:t>
      </w:r>
      <w:r>
        <w:t xml:space="preserve"> Комбинация 3 НИОТ включает: </w:t>
      </w:r>
      <w:r>
        <w:rPr>
          <w:lang w:val="en-US"/>
        </w:rPr>
        <w:t>AZT</w:t>
      </w:r>
      <w:r>
        <w:t>+3</w:t>
      </w:r>
      <w:r>
        <w:rPr>
          <w:lang w:val="en-US"/>
        </w:rPr>
        <w:t>TC</w:t>
      </w:r>
      <w:r>
        <w:t>+</w:t>
      </w:r>
      <w:r>
        <w:rPr>
          <w:lang w:val="en-US"/>
        </w:rPr>
        <w:t>ABC</w:t>
      </w:r>
      <w:r>
        <w:t xml:space="preserve">. </w:t>
      </w:r>
      <w:r>
        <w:rPr>
          <w:lang w:val="en-US"/>
        </w:rPr>
        <w:t>AZT</w:t>
      </w:r>
      <w:r>
        <w:t xml:space="preserve"> назначается в максимальной терапевтической дозе.</w:t>
      </w:r>
    </w:p>
    <w:p w14:paraId="5337AFAB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lang w:val="en-US"/>
        </w:rPr>
        <w:t>TDF</w:t>
      </w:r>
      <w:r>
        <w:t>+3</w:t>
      </w:r>
      <w:r>
        <w:rPr>
          <w:lang w:val="en-US"/>
        </w:rPr>
        <w:t>TC</w:t>
      </w:r>
      <w:r>
        <w:t xml:space="preserve"> или </w:t>
      </w:r>
      <w:r>
        <w:rPr>
          <w:lang w:val="en-US"/>
        </w:rPr>
        <w:t>TDF</w:t>
      </w:r>
      <w:r>
        <w:t>+</w:t>
      </w:r>
      <w:r>
        <w:rPr>
          <w:lang w:val="en-US"/>
        </w:rPr>
        <w:t>FTC</w:t>
      </w:r>
      <w:r>
        <w:t xml:space="preserve"> назначается в следующих случаях:</w:t>
      </w:r>
    </w:p>
    <w:p w14:paraId="1A5B23BE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- гиперчувствительность на </w:t>
      </w:r>
      <w:r>
        <w:rPr>
          <w:lang w:val="en-US"/>
        </w:rPr>
        <w:t>ABC</w:t>
      </w:r>
      <w:r>
        <w:t xml:space="preserve"> и невозможность назначить </w:t>
      </w:r>
      <w:r>
        <w:rPr>
          <w:lang w:val="en-US"/>
        </w:rPr>
        <w:t>AZT</w:t>
      </w:r>
      <w:r>
        <w:t xml:space="preserve"> (тяжелая анемия, нейтропения);</w:t>
      </w:r>
    </w:p>
    <w:p w14:paraId="3576E3BA" w14:textId="77777777" w:rsidR="009D4C87" w:rsidRDefault="009D4C87" w:rsidP="009D4C87">
      <w:pPr>
        <w:autoSpaceDE w:val="0"/>
        <w:autoSpaceDN w:val="0"/>
        <w:ind w:firstLine="397"/>
        <w:jc w:val="both"/>
      </w:pPr>
      <w:r>
        <w:t>- хронический вирусный гепатит В;</w:t>
      </w:r>
    </w:p>
    <w:p w14:paraId="2D0B16C9" w14:textId="77777777" w:rsidR="009D4C87" w:rsidRDefault="009D4C87" w:rsidP="009D4C87">
      <w:pPr>
        <w:autoSpaceDE w:val="0"/>
        <w:autoSpaceDN w:val="0"/>
        <w:ind w:firstLine="397"/>
        <w:jc w:val="both"/>
      </w:pPr>
      <w:r>
        <w:t>- фактическое или предстоящее назначение лечения хронического вирусного гепатита «С» с комбинацией софосбувир с ледипасвир или/и ребетол (Клинический протокол диагностики и лечения хронического вирусного гепатита С у детей).</w:t>
      </w:r>
    </w:p>
    <w:p w14:paraId="1D75EA0C" w14:textId="77777777" w:rsidR="009D4C87" w:rsidRDefault="009D4C87" w:rsidP="009D4C87">
      <w:pPr>
        <w:autoSpaceDE w:val="0"/>
        <w:autoSpaceDN w:val="0"/>
        <w:ind w:firstLine="397"/>
        <w:jc w:val="both"/>
      </w:pPr>
      <w:r w:rsidRPr="00EB70FB">
        <w:t xml:space="preserve">Детям до 3 лет с туберкулезом схемой выбора является комбинация 3НИОТ или 2НИОТ+ </w:t>
      </w:r>
      <w:r w:rsidRPr="00EB70FB">
        <w:rPr>
          <w:lang w:val="en-US"/>
        </w:rPr>
        <w:t>DTG</w:t>
      </w:r>
      <w:r w:rsidRPr="00EB70FB">
        <w:t xml:space="preserve">, или в особых обстоятельствах </w:t>
      </w:r>
      <w:r w:rsidRPr="00EB70FB">
        <w:rPr>
          <w:lang w:val="en-US"/>
        </w:rPr>
        <w:t>RAL</w:t>
      </w:r>
      <w:r w:rsidRPr="00EB70FB">
        <w:t xml:space="preserve"> (при наличии в стране). Детям старше 3 лет с туберкулезом рекомендуемой схемой служит 2 НИОТ+ </w:t>
      </w:r>
      <w:r w:rsidRPr="00EB70FB">
        <w:rPr>
          <w:lang w:val="en-US"/>
        </w:rPr>
        <w:t>EFV</w:t>
      </w:r>
      <w:r w:rsidRPr="00EB70FB">
        <w:t>.</w:t>
      </w:r>
    </w:p>
    <w:p w14:paraId="5FCF104E" w14:textId="77777777" w:rsidR="009D4C87" w:rsidRDefault="009D4C87" w:rsidP="009D4C87">
      <w:pPr>
        <w:autoSpaceDE w:val="0"/>
        <w:autoSpaceDN w:val="0"/>
        <w:ind w:firstLine="397"/>
        <w:jc w:val="both"/>
      </w:pPr>
      <w:r w:rsidRPr="0012791A">
        <w:rPr>
          <w:b/>
          <w:bCs/>
        </w:rPr>
        <w:t>Схемы антиретровирусной терапии первого ряда:</w:t>
      </w:r>
      <w:r>
        <w:rPr>
          <w:b/>
          <w:bCs/>
        </w:rPr>
        <w:t xml:space="preserve"> </w:t>
      </w: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55"/>
        <w:gridCol w:w="1883"/>
        <w:gridCol w:w="2155"/>
        <w:gridCol w:w="2573"/>
      </w:tblGrid>
      <w:tr w:rsidR="009D4C87" w14:paraId="0A573B65" w14:textId="77777777" w:rsidTr="009D4C87"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C8E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Возраст</w:t>
            </w:r>
          </w:p>
        </w:tc>
        <w:tc>
          <w:tcPr>
            <w:tcW w:w="1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7A7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Третий препарат в схеме</w:t>
            </w:r>
          </w:p>
        </w:tc>
        <w:tc>
          <w:tcPr>
            <w:tcW w:w="23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047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НИОТ - основа</w:t>
            </w:r>
          </w:p>
        </w:tc>
      </w:tr>
      <w:tr w:rsidR="009D4C87" w14:paraId="0D0C7A55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4B29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49F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предпочтительный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B1E4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альтернативный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3DA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предпочтительный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615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альтернативный</w:t>
            </w:r>
          </w:p>
        </w:tc>
      </w:tr>
      <w:tr w:rsidR="009D4C87" w14:paraId="69467A3C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C5C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0-4 недели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28C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5C4B" w14:textId="77777777" w:rsidR="009D4C87" w:rsidRDefault="009D4C87" w:rsidP="00FF409B">
            <w:pPr>
              <w:autoSpaceDE w:val="0"/>
              <w:autoSpaceDN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LPV/r</w:t>
            </w:r>
            <w:r w:rsidRPr="00FD0067">
              <w:rPr>
                <w:highlight w:val="yellow"/>
                <w:lang w:val="en-US"/>
              </w:rPr>
              <w:t xml:space="preserve"> </w:t>
            </w:r>
          </w:p>
          <w:p w14:paraId="207088B5" w14:textId="77777777" w:rsidR="009D4C87" w:rsidRDefault="009D4C87" w:rsidP="00FF409B">
            <w:pPr>
              <w:autoSpaceDE w:val="0"/>
              <w:autoSpaceDN w:val="0"/>
              <w:jc w:val="both"/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4AF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 (ZDV) +3TC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BCF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 </w:t>
            </w:r>
          </w:p>
        </w:tc>
      </w:tr>
      <w:tr w:rsidR="009D4C87" w14:paraId="10DA1FE0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465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4 недели - 3 года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125A" w14:textId="77777777" w:rsidR="009D4C87" w:rsidRPr="00EB70F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  <w:r>
              <w:rPr>
                <w:vertAlign w:val="superscript"/>
              </w:rPr>
              <w:t>4</w:t>
            </w:r>
          </w:p>
          <w:p w14:paraId="72D400F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LPV/r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6171" w14:textId="77777777" w:rsidR="009D4C8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RAL</w:t>
            </w:r>
          </w:p>
          <w:p w14:paraId="2345182D" w14:textId="77777777" w:rsidR="009D4C87" w:rsidRPr="00436458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ETV</w:t>
            </w:r>
            <w:r>
              <w:t xml:space="preserve"> (с 2 лет)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2DF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АВС</w:t>
            </w:r>
            <w:r>
              <w:rPr>
                <w:vertAlign w:val="superscript"/>
              </w:rPr>
              <w:t>1</w:t>
            </w:r>
            <w:r>
              <w:t>+3ТС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6E3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>
              <w:t xml:space="preserve"> (</w:t>
            </w:r>
            <w:r>
              <w:rPr>
                <w:lang w:val="en-US"/>
              </w:rPr>
              <w:t>ZDV</w:t>
            </w:r>
            <w:r>
              <w:t>) +3</w:t>
            </w:r>
            <w:r>
              <w:rPr>
                <w:lang w:val="en-US"/>
              </w:rPr>
              <w:t>TC</w:t>
            </w:r>
          </w:p>
          <w:p w14:paraId="22C8EA8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TDF</w:t>
            </w:r>
            <w:r>
              <w:t>+3</w:t>
            </w:r>
            <w:r>
              <w:rPr>
                <w:lang w:val="en-US"/>
              </w:rPr>
              <w:t>TC</w:t>
            </w:r>
            <w:r>
              <w:t xml:space="preserve"> (с 2-х лет)</w:t>
            </w:r>
          </w:p>
        </w:tc>
      </w:tr>
      <w:tr w:rsidR="009D4C87" w14:paraId="515D3C79" w14:textId="77777777" w:rsidTr="009D4C87">
        <w:trPr>
          <w:trHeight w:val="1012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9E4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3-6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0133" w14:textId="77777777" w:rsidR="009D4C87" w:rsidRPr="00EB70F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  <w:r>
              <w:rPr>
                <w:vertAlign w:val="superscript"/>
              </w:rPr>
              <w:t>4</w:t>
            </w:r>
          </w:p>
          <w:p w14:paraId="0C5BD65A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DF7C" w14:textId="77777777" w:rsidR="009D4C87" w:rsidRPr="00CC401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LPV</w:t>
            </w:r>
            <w:r w:rsidRPr="00CC401B">
              <w:t>/</w:t>
            </w:r>
            <w:r>
              <w:rPr>
                <w:lang w:val="en-US"/>
              </w:rPr>
              <w:t>r</w:t>
            </w:r>
            <w:r w:rsidRPr="00CC401B">
              <w:t xml:space="preserve"> </w:t>
            </w:r>
          </w:p>
          <w:p w14:paraId="7F9C7900" w14:textId="77777777" w:rsidR="009D4C87" w:rsidRPr="00CC401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RAL</w:t>
            </w:r>
          </w:p>
          <w:p w14:paraId="30DAF6DA" w14:textId="77777777" w:rsidR="009D4C87" w:rsidRPr="00CC401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 xml:space="preserve">ETV </w:t>
            </w:r>
            <w:r>
              <w:t>(с 2 лет)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DAC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АВС</w:t>
            </w:r>
            <w:r>
              <w:rPr>
                <w:vertAlign w:val="superscript"/>
              </w:rPr>
              <w:t>1</w:t>
            </w:r>
            <w:r>
              <w:t>+3ТС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702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 xml:space="preserve">TDF+XTC </w:t>
            </w:r>
          </w:p>
          <w:p w14:paraId="1AB5F3F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AZT+XTC</w:t>
            </w:r>
          </w:p>
        </w:tc>
      </w:tr>
      <w:tr w:rsidR="009D4C87" w14:paraId="1D9D202C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BD7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6-12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00A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  <w:r w:rsidRPr="00EB70FB">
              <w:rPr>
                <w:vertAlign w:val="superscript"/>
              </w:rPr>
              <w:t>4</w:t>
            </w:r>
            <w:r w:rsidRPr="00D740F6">
              <w:rPr>
                <w:lang w:val="en-US"/>
              </w:rPr>
              <w:t> </w:t>
            </w:r>
          </w:p>
          <w:p w14:paraId="49FEF323" w14:textId="77777777" w:rsidR="009D4C87" w:rsidRPr="00D740F6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521A" w14:textId="77777777" w:rsidR="009D4C8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ETV </w:t>
            </w:r>
          </w:p>
          <w:p w14:paraId="3DD4A36F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ATV/r </w:t>
            </w:r>
          </w:p>
          <w:p w14:paraId="218EBA0F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EVG/c </w:t>
            </w:r>
          </w:p>
          <w:p w14:paraId="7B849807" w14:textId="77777777" w:rsidR="009D4C87" w:rsidRPr="00436458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RAL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48CB" w14:textId="77777777" w:rsidR="009D4C87" w:rsidRDefault="009D4C87" w:rsidP="00FF409B">
            <w:pPr>
              <w:autoSpaceDE w:val="0"/>
              <w:autoSpaceDN w:val="0"/>
              <w:jc w:val="both"/>
              <w:rPr>
                <w:vertAlign w:val="superscript"/>
              </w:rPr>
            </w:pPr>
            <w:r>
              <w:t>АВС</w:t>
            </w:r>
            <w:r>
              <w:rPr>
                <w:vertAlign w:val="superscript"/>
              </w:rPr>
              <w:t>1</w:t>
            </w:r>
            <w:r>
              <w:t>+3ТС</w:t>
            </w:r>
            <w:r>
              <w:rPr>
                <w:vertAlign w:val="superscript"/>
              </w:rPr>
              <w:t>2</w:t>
            </w:r>
          </w:p>
          <w:p w14:paraId="4CFA5E2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TAF</w:t>
            </w:r>
            <w:r>
              <w:rPr>
                <w:vertAlign w:val="superscript"/>
              </w:rPr>
              <w:t>5</w:t>
            </w:r>
            <w:r>
              <w:rPr>
                <w:lang w:val="en-US"/>
              </w:rPr>
              <w:t>+XTC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BFCE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TDF+XTC</w:t>
            </w:r>
          </w:p>
        </w:tc>
      </w:tr>
      <w:tr w:rsidR="009D4C87" w14:paraId="7BD0F141" w14:textId="77777777" w:rsidTr="009D4C87"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05C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Старше 12 лет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D225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DTG </w:t>
            </w:r>
          </w:p>
          <w:p w14:paraId="5957BA25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DRV/r/c</w:t>
            </w:r>
          </w:p>
          <w:p w14:paraId="158CFC14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BIC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4E8D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DRV/r/c</w:t>
            </w:r>
          </w:p>
          <w:p w14:paraId="4C655568" w14:textId="77777777" w:rsidR="009D4C87" w:rsidRPr="00FA6F46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ATV/r/c</w:t>
            </w:r>
            <w:r>
              <w:rPr>
                <w:vertAlign w:val="superscript"/>
              </w:rPr>
              <w:t>з</w:t>
            </w:r>
          </w:p>
          <w:p w14:paraId="668A5CFB" w14:textId="77777777" w:rsidR="009D4C87" w:rsidRPr="00BA346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EVG/c </w:t>
            </w:r>
          </w:p>
          <w:p w14:paraId="651E0018" w14:textId="77777777" w:rsidR="009D4C87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RAL </w:t>
            </w:r>
          </w:p>
          <w:p w14:paraId="4AF67CAC" w14:textId="77777777" w:rsidR="009D4C87" w:rsidRPr="00436458" w:rsidRDefault="009D4C87" w:rsidP="00FF409B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en-US"/>
              </w:rPr>
              <w:t>RPV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829" w14:textId="77777777" w:rsidR="009D4C87" w:rsidRDefault="009D4C87" w:rsidP="00FF409B">
            <w:pPr>
              <w:autoSpaceDE w:val="0"/>
              <w:autoSpaceDN w:val="0"/>
              <w:jc w:val="both"/>
              <w:rPr>
                <w:vertAlign w:val="superscript"/>
              </w:rPr>
            </w:pPr>
            <w:r>
              <w:t>АВС</w:t>
            </w:r>
            <w:r>
              <w:rPr>
                <w:vertAlign w:val="superscript"/>
              </w:rPr>
              <w:t>1</w:t>
            </w:r>
            <w:r>
              <w:t>+3ТС</w:t>
            </w:r>
            <w:r>
              <w:rPr>
                <w:vertAlign w:val="superscript"/>
              </w:rPr>
              <w:t>2</w:t>
            </w:r>
          </w:p>
          <w:p w14:paraId="0EBAE96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TAF</w:t>
            </w:r>
            <w:r>
              <w:rPr>
                <w:vertAlign w:val="superscript"/>
              </w:rPr>
              <w:t>5</w:t>
            </w:r>
            <w:r>
              <w:rPr>
                <w:lang w:val="en-US"/>
              </w:rPr>
              <w:t>+XTC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7BC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TDF+XTC</w:t>
            </w:r>
          </w:p>
        </w:tc>
      </w:tr>
    </w:tbl>
    <w:p w14:paraId="6CF4146B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  <w:lang w:val="en-US"/>
        </w:rPr>
        <w:t>NB</w:t>
      </w:r>
      <w:r>
        <w:rPr>
          <w:b/>
          <w:bCs/>
        </w:rPr>
        <w:t xml:space="preserve">! </w:t>
      </w:r>
      <w:r>
        <w:t xml:space="preserve">Все АРВ препараты применять согласно показаниям в Инструкции по медицинскому применению. У детей до 3 лет рекомендуется использовать жидкие лекарственные формы АРВ препаратов, более старшего возраста - перевод на таблетированные формы. У детей/подростков допустимо использовать комбинированные формы АРВ препараты с фиксированными дозами, если они соответствуют возрасту/весу. </w:t>
      </w:r>
    </w:p>
    <w:p w14:paraId="6AC042A8" w14:textId="77777777" w:rsidR="009D4C87" w:rsidRPr="00EB70FB" w:rsidRDefault="009D4C87" w:rsidP="009D4C87">
      <w:pPr>
        <w:autoSpaceDE w:val="0"/>
        <w:autoSpaceDN w:val="0"/>
        <w:ind w:firstLine="397"/>
        <w:jc w:val="both"/>
      </w:pPr>
      <w:r>
        <w:rPr>
          <w:vertAlign w:val="superscript"/>
        </w:rPr>
        <w:t>1</w:t>
      </w:r>
      <w:r>
        <w:t xml:space="preserve"> </w:t>
      </w:r>
      <w:r w:rsidRPr="00EB70FB">
        <w:t xml:space="preserve">АВС не рекомендуется назначать </w:t>
      </w:r>
      <w:r w:rsidRPr="00EB70FB">
        <w:rPr>
          <w:lang w:val="en-US"/>
        </w:rPr>
        <w:t>HLAB</w:t>
      </w:r>
      <w:r w:rsidRPr="00EB70FB">
        <w:t>*5701 позитивным лицам (если скрининг доступен).</w:t>
      </w:r>
    </w:p>
    <w:p w14:paraId="6CCA158C" w14:textId="77777777" w:rsidR="009D4C87" w:rsidRPr="00EB70FB" w:rsidRDefault="009D4C87" w:rsidP="009D4C87">
      <w:pPr>
        <w:autoSpaceDE w:val="0"/>
        <w:autoSpaceDN w:val="0"/>
        <w:ind w:left="426" w:hanging="29"/>
        <w:jc w:val="both"/>
      </w:pPr>
      <w:r w:rsidRPr="00EB70FB">
        <w:rPr>
          <w:vertAlign w:val="superscript"/>
        </w:rPr>
        <w:t>2</w:t>
      </w:r>
      <w:r w:rsidRPr="00EB70FB">
        <w:t xml:space="preserve"> При ВН ВИЧ больше 100 000 коп/мл АВС+ЗТС рекомендуется назначать в комбинации с </w:t>
      </w:r>
      <w:r w:rsidRPr="00EB70FB">
        <w:rPr>
          <w:lang w:val="en-US"/>
        </w:rPr>
        <w:t>DTG</w:t>
      </w:r>
      <w:r w:rsidRPr="00EB70FB">
        <w:t xml:space="preserve"> в качестве третьего препарата</w:t>
      </w:r>
    </w:p>
    <w:p w14:paraId="1FA998FE" w14:textId="77777777" w:rsidR="009D4C87" w:rsidRPr="00EB70FB" w:rsidRDefault="009D4C87" w:rsidP="009D4C87">
      <w:pPr>
        <w:autoSpaceDE w:val="0"/>
        <w:autoSpaceDN w:val="0"/>
        <w:ind w:firstLine="397"/>
        <w:jc w:val="both"/>
      </w:pPr>
      <w:r w:rsidRPr="00EB70FB">
        <w:rPr>
          <w:vertAlign w:val="superscript"/>
        </w:rPr>
        <w:t>3</w:t>
      </w:r>
      <w:r w:rsidRPr="00EB70FB">
        <w:t xml:space="preserve"> После получения лицензии.</w:t>
      </w:r>
    </w:p>
    <w:p w14:paraId="485F08F0" w14:textId="77777777" w:rsidR="009D4C87" w:rsidRPr="00EB70FB" w:rsidRDefault="009D4C87" w:rsidP="009D4C87">
      <w:pPr>
        <w:autoSpaceDE w:val="0"/>
        <w:autoSpaceDN w:val="0"/>
        <w:ind w:firstLine="397"/>
        <w:jc w:val="both"/>
      </w:pPr>
      <w:r w:rsidRPr="00EB70FB">
        <w:rPr>
          <w:vertAlign w:val="superscript"/>
        </w:rPr>
        <w:t xml:space="preserve">4 </w:t>
      </w:r>
      <w:r w:rsidRPr="00EB70FB">
        <w:t>При наличие возрастных дозировок</w:t>
      </w:r>
    </w:p>
    <w:p w14:paraId="00E6AFAA" w14:textId="77777777" w:rsidR="009D4C87" w:rsidRPr="00EB70FB" w:rsidRDefault="009D4C87" w:rsidP="009D4C87">
      <w:pPr>
        <w:autoSpaceDE w:val="0"/>
        <w:autoSpaceDN w:val="0"/>
        <w:ind w:firstLine="397"/>
        <w:jc w:val="both"/>
      </w:pPr>
      <w:r w:rsidRPr="00EB70FB">
        <w:rPr>
          <w:vertAlign w:val="superscript"/>
        </w:rPr>
        <w:t>5</w:t>
      </w:r>
      <w:r w:rsidRPr="00EB70FB">
        <w:t xml:space="preserve"> ТА</w:t>
      </w:r>
      <w:r w:rsidRPr="00EB70FB">
        <w:rPr>
          <w:lang w:val="en-US"/>
        </w:rPr>
        <w:t>F</w:t>
      </w:r>
      <w:r w:rsidRPr="00EB70FB">
        <w:t xml:space="preserve"> в настоящее время доступен в только комбинации с </w:t>
      </w:r>
      <w:r w:rsidRPr="00EB70FB">
        <w:rPr>
          <w:lang w:val="en-US"/>
        </w:rPr>
        <w:t>FTC</w:t>
      </w:r>
    </w:p>
    <w:p w14:paraId="2CEDC362" w14:textId="77777777" w:rsidR="009D4C87" w:rsidRDefault="009D4C87" w:rsidP="009D4C87">
      <w:pPr>
        <w:autoSpaceDE w:val="0"/>
        <w:autoSpaceDN w:val="0"/>
        <w:ind w:firstLine="397"/>
        <w:jc w:val="both"/>
      </w:pPr>
      <w:r>
        <w:t> </w:t>
      </w:r>
    </w:p>
    <w:p w14:paraId="530156D4" w14:textId="77777777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  <w:lang w:val="en-US"/>
        </w:rPr>
        <w:t>APT</w:t>
      </w:r>
      <w:r>
        <w:rPr>
          <w:b/>
          <w:bCs/>
        </w:rPr>
        <w:t xml:space="preserve"> при ко-инфекции ТБ/ВИЧ</w:t>
      </w:r>
      <w:r>
        <w:t xml:space="preserve"> [2-15]:</w:t>
      </w:r>
    </w:p>
    <w:p w14:paraId="756CEDB6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Все дети с ВИЧ с диагностированным туберкулезом нуждаются в лечении ТБ и ВИЧ-инфекции, независимо от числа лимфоцитов </w:t>
      </w:r>
      <w:r>
        <w:rPr>
          <w:lang w:val="en-US"/>
        </w:rPr>
        <w:t>CD</w:t>
      </w:r>
      <w:r>
        <w:t xml:space="preserve">4. Первым начинают противотуберкулезное лечение, а затем как можно быстрее (в первые 8 недель лечения) назначают </w:t>
      </w:r>
      <w:r>
        <w:rPr>
          <w:lang w:val="en-US"/>
        </w:rPr>
        <w:t>APT</w:t>
      </w:r>
      <w:r>
        <w:t xml:space="preserve">. Больным ВИЧ/ТБ, имеющим выраженный иммунодефицит, необходимо начать </w:t>
      </w:r>
      <w:r>
        <w:rPr>
          <w:lang w:val="en-US"/>
        </w:rPr>
        <w:t>APT</w:t>
      </w:r>
      <w:r>
        <w:t xml:space="preserve"> немедленно - в течение первых 2 недель после начала лечения ТБ. При наличии туберкулезного менингита начало </w:t>
      </w:r>
      <w:r>
        <w:rPr>
          <w:lang w:val="en-US"/>
        </w:rPr>
        <w:t>APT</w:t>
      </w:r>
      <w:r>
        <w:t xml:space="preserve"> следует отложить до завершения фазы интенсивной терапии ТБ.</w:t>
      </w:r>
    </w:p>
    <w:p w14:paraId="6EE85221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В начале </w:t>
      </w:r>
      <w:r>
        <w:rPr>
          <w:lang w:val="en-US"/>
        </w:rPr>
        <w:t>APT</w:t>
      </w:r>
      <w:r>
        <w:t xml:space="preserve"> у детей старше 3-х лет, получающих противотуберкулезное лечение, предпочтительным является </w:t>
      </w:r>
      <w:r>
        <w:rPr>
          <w:lang w:val="en-US"/>
        </w:rPr>
        <w:t>DTG</w:t>
      </w:r>
      <w:r>
        <w:t xml:space="preserve">, который назначают вместе с двумя НИОТ. При непереносимости </w:t>
      </w:r>
      <w:r>
        <w:rPr>
          <w:lang w:val="en-US"/>
        </w:rPr>
        <w:lastRenderedPageBreak/>
        <w:t>DTG</w:t>
      </w:r>
      <w:r>
        <w:t xml:space="preserve"> и для детей младше 3-х лет рекомендована схема лечения с третьим препаратом </w:t>
      </w:r>
      <w:r>
        <w:rPr>
          <w:lang w:val="en-US"/>
        </w:rPr>
        <w:t>RAL</w:t>
      </w:r>
      <w:r>
        <w:t>, или схема 3 НИОТ (3</w:t>
      </w:r>
      <w:r>
        <w:rPr>
          <w:lang w:val="en-US"/>
        </w:rPr>
        <w:t>TC</w:t>
      </w:r>
      <w:r w:rsidRPr="00D87273">
        <w:t xml:space="preserve"> </w:t>
      </w:r>
      <w:r>
        <w:t>+</w:t>
      </w:r>
      <w:r w:rsidRPr="00D87273">
        <w:t xml:space="preserve"> </w:t>
      </w:r>
      <w:r>
        <w:rPr>
          <w:lang w:val="en-US"/>
        </w:rPr>
        <w:t>AZT</w:t>
      </w:r>
      <w:r w:rsidRPr="00D87273">
        <w:t xml:space="preserve"> </w:t>
      </w:r>
      <w:r>
        <w:t>+</w:t>
      </w:r>
      <w:r w:rsidRPr="00D87273">
        <w:t xml:space="preserve"> </w:t>
      </w:r>
      <w:r>
        <w:rPr>
          <w:lang w:val="en-US"/>
        </w:rPr>
        <w:t>ABC</w:t>
      </w:r>
      <w:r>
        <w:t xml:space="preserve">) с учетом лекарственного взаимодействия в </w:t>
      </w:r>
      <w:hyperlink r:id="rId11" w:anchor="sub_id=2" w:history="1">
        <w:r>
          <w:rPr>
            <w:rStyle w:val="a3"/>
          </w:rPr>
          <w:t>Приложении 2</w:t>
        </w:r>
      </w:hyperlink>
      <w:r>
        <w:t>.</w:t>
      </w:r>
    </w:p>
    <w:p w14:paraId="61A3B54C" w14:textId="77777777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</w:p>
    <w:p w14:paraId="606F0172" w14:textId="78078EA2" w:rsidR="009D4C87" w:rsidRPr="00D87273" w:rsidRDefault="009D4C87" w:rsidP="009D4C87">
      <w:pPr>
        <w:autoSpaceDE w:val="0"/>
        <w:autoSpaceDN w:val="0"/>
        <w:ind w:firstLine="397"/>
        <w:jc w:val="both"/>
      </w:pPr>
      <w:r w:rsidRPr="0012791A">
        <w:rPr>
          <w:b/>
          <w:bCs/>
        </w:rPr>
        <w:t xml:space="preserve">Последовательность АРВ - препаратов для новорожденных, начинающих лечение: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198"/>
        <w:gridCol w:w="2314"/>
        <w:gridCol w:w="2799"/>
      </w:tblGrid>
      <w:tr w:rsidR="009D4C87" w14:paraId="37CC5D12" w14:textId="77777777" w:rsidTr="00FF409B">
        <w:tc>
          <w:tcPr>
            <w:tcW w:w="1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38F6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3FC2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0-4 недели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E232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4 недели - 3 месяца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8782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3-36 месяцев</w:t>
            </w:r>
          </w:p>
        </w:tc>
      </w:tr>
      <w:tr w:rsidR="009D4C87" w14:paraId="60875E64" w14:textId="77777777" w:rsidTr="00FF409B">
        <w:tc>
          <w:tcPr>
            <w:tcW w:w="1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430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Предпочтительные схемы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FB9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AZT+3TC+ RAL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DBD3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</w:t>
            </w:r>
            <w:r>
              <w:t xml:space="preserve"> или </w:t>
            </w:r>
          </w:p>
          <w:p w14:paraId="0253ECD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>
              <w:t xml:space="preserve"> + 3ТС + </w:t>
            </w:r>
            <w:r>
              <w:rPr>
                <w:lang w:val="en-US"/>
              </w:rPr>
              <w:t>DTG</w:t>
            </w:r>
            <w:r>
              <w:rPr>
                <w:vertAlign w:val="superscript"/>
              </w:rPr>
              <w:t xml:space="preserve">* </w:t>
            </w:r>
          </w:p>
          <w:p w14:paraId="68B0EC7C" w14:textId="77777777" w:rsidR="009D4C87" w:rsidRPr="00996443" w:rsidRDefault="009D4C87" w:rsidP="00FF409B">
            <w:pPr>
              <w:autoSpaceDE w:val="0"/>
              <w:autoSpaceDN w:val="0"/>
              <w:jc w:val="both"/>
              <w:rPr>
                <w:vertAlign w:val="superscript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33B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</w:t>
            </w:r>
            <w:r>
              <w:t xml:space="preserve"> или </w:t>
            </w:r>
          </w:p>
          <w:p w14:paraId="06665FE2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>
              <w:t xml:space="preserve"> + 3ТС + </w:t>
            </w:r>
            <w:r>
              <w:rPr>
                <w:lang w:val="en-US"/>
              </w:rPr>
              <w:t>DTG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  <w:p w14:paraId="20791780" w14:textId="77777777" w:rsidR="009D4C87" w:rsidRDefault="009D4C87" w:rsidP="00FF409B">
            <w:pPr>
              <w:autoSpaceDE w:val="0"/>
              <w:autoSpaceDN w:val="0"/>
              <w:jc w:val="both"/>
            </w:pPr>
          </w:p>
        </w:tc>
      </w:tr>
      <w:tr w:rsidR="009D4C87" w14:paraId="53C6F7C4" w14:textId="77777777" w:rsidTr="00FF409B">
        <w:tc>
          <w:tcPr>
            <w:tcW w:w="1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1AD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Альтернативные схемы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7A6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 w:rsidRPr="00E26BE2">
              <w:t>+3</w:t>
            </w:r>
            <w:r>
              <w:rPr>
                <w:lang w:val="en-US"/>
              </w:rPr>
              <w:t>TC</w:t>
            </w:r>
            <w:r w:rsidRPr="00E26BE2">
              <w:t>+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сироп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676EB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 xml:space="preserve">2 НИОТ +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сироп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E385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</w:t>
            </w:r>
            <w:r>
              <w:t xml:space="preserve"> или </w:t>
            </w:r>
          </w:p>
          <w:p w14:paraId="1971507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>
              <w:t xml:space="preserve"> + 3ТС +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</w:t>
            </w:r>
          </w:p>
          <w:p w14:paraId="2B28B57B" w14:textId="77777777" w:rsidR="009D4C87" w:rsidRDefault="009D4C87" w:rsidP="00FF409B">
            <w:pPr>
              <w:autoSpaceDE w:val="0"/>
              <w:autoSpaceDN w:val="0"/>
              <w:jc w:val="both"/>
            </w:pPr>
          </w:p>
        </w:tc>
      </w:tr>
      <w:tr w:rsidR="009D4C87" w:rsidRPr="00F54A3B" w14:paraId="5A67F1CC" w14:textId="77777777" w:rsidTr="00FF409B">
        <w:tc>
          <w:tcPr>
            <w:tcW w:w="1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EA01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Особые обстоятельства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ED00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AZT</w:t>
            </w:r>
            <w:r w:rsidRPr="00F54A3B">
              <w:t>+3</w:t>
            </w:r>
            <w:r>
              <w:rPr>
                <w:lang w:val="en-US"/>
              </w:rPr>
              <w:t>TC</w:t>
            </w:r>
            <w:r w:rsidRPr="00F54A3B">
              <w:t xml:space="preserve">+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сироп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DB2A" w14:textId="77777777" w:rsidR="009D4C87" w:rsidRPr="00BA3467" w:rsidRDefault="009D4C87" w:rsidP="00FF409B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ABC</w:t>
            </w:r>
            <w:r w:rsidRPr="00F54A3B">
              <w:rPr>
                <w:lang w:val="en-US"/>
              </w:rPr>
              <w:t xml:space="preserve"> </w:t>
            </w:r>
            <w:r>
              <w:t>или</w:t>
            </w:r>
            <w:r w:rsidRPr="00F54A3B">
              <w:rPr>
                <w:lang w:val="en-US"/>
              </w:rPr>
              <w:t xml:space="preserve"> </w:t>
            </w:r>
            <w:r>
              <w:rPr>
                <w:lang w:val="en-US"/>
              </w:rPr>
              <w:t>AZT+3TC+RAL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09CA4" w14:textId="77777777" w:rsidR="009D4C87" w:rsidRPr="00F54A3B" w:rsidRDefault="009D4C87" w:rsidP="00FF409B">
            <w:pPr>
              <w:autoSpaceDE w:val="0"/>
              <w:autoSpaceDN w:val="0"/>
              <w:jc w:val="both"/>
            </w:pPr>
            <w:r>
              <w:t xml:space="preserve">2 НИОТ +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или</w:t>
            </w:r>
          </w:p>
          <w:p w14:paraId="10063D3C" w14:textId="77777777" w:rsidR="009D4C87" w:rsidRPr="00F54A3B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ETV</w:t>
            </w:r>
            <w:r>
              <w:t xml:space="preserve"> (с 2 лет)</w:t>
            </w:r>
          </w:p>
        </w:tc>
      </w:tr>
    </w:tbl>
    <w:p w14:paraId="485651EF" w14:textId="34881AA3" w:rsidR="009D4C87" w:rsidRDefault="009D4C87"/>
    <w:p w14:paraId="1E52155C" w14:textId="77777777" w:rsidR="009D4C87" w:rsidRPr="00996443" w:rsidRDefault="009D4C87" w:rsidP="009D4C87">
      <w:pPr>
        <w:autoSpaceDE w:val="0"/>
        <w:autoSpaceDN w:val="0"/>
        <w:ind w:firstLine="397"/>
        <w:jc w:val="both"/>
      </w:pPr>
      <w:r>
        <w:rPr>
          <w:lang w:val="en-US"/>
        </w:rPr>
        <w:t> </w:t>
      </w:r>
      <w:r>
        <w:t>*</w:t>
      </w:r>
      <w:r w:rsidRPr="00996443">
        <w:rPr>
          <w:color w:val="58595B"/>
          <w:spacing w:val="1"/>
          <w:sz w:val="14"/>
        </w:rPr>
        <w:t xml:space="preserve"> </w:t>
      </w:r>
      <w:r w:rsidRPr="00996443">
        <w:t>Это относится к детям</w:t>
      </w:r>
      <w:r>
        <w:t xml:space="preserve"> с 4 недель жизни</w:t>
      </w:r>
      <w:r w:rsidRPr="00996443">
        <w:t>, для которых одобренная дозировка DTG доступна</w:t>
      </w:r>
      <w:r>
        <w:t>.</w:t>
      </w:r>
    </w:p>
    <w:p w14:paraId="4E0A1B20" w14:textId="77777777" w:rsidR="009D4C87" w:rsidRDefault="009D4C87" w:rsidP="009D4C87">
      <w:pPr>
        <w:autoSpaceDE w:val="0"/>
        <w:autoSpaceDN w:val="0"/>
        <w:ind w:firstLine="397"/>
        <w:jc w:val="both"/>
      </w:pPr>
      <w:r>
        <w:t>Дозы АРВ - препаратов и их коррекция проводится в зависимости от возраста и массы тела. Дозы АРВ - препаратов необходимо пересматривать не реже 1 раза в три месяца в соответствии с возрастом, массой/площадью тела ребенка. Дозы подсчитываются в мг/кг массы тела или в мг/м</w:t>
      </w:r>
      <w:r>
        <w:rPr>
          <w:vertAlign w:val="superscript"/>
        </w:rPr>
        <w:t>2</w:t>
      </w:r>
      <w:r>
        <w:t xml:space="preserve"> на площади поверхности тела (более точный расчет). Перерасчет доз также рекомендуется проводить при увеличении массы тела на 10% и более.</w:t>
      </w:r>
    </w:p>
    <w:p w14:paraId="74BF7702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Величина поверхности тела ребенка рассчитывается по формулам: </w:t>
      </w:r>
    </w:p>
    <w:p w14:paraId="70458681" w14:textId="77777777" w:rsidR="009D4C87" w:rsidRDefault="009D4C87" w:rsidP="009D4C87">
      <w:pPr>
        <w:autoSpaceDE w:val="0"/>
        <w:autoSpaceDN w:val="0"/>
        <w:ind w:firstLine="397"/>
        <w:jc w:val="both"/>
      </w:pPr>
      <w:r>
        <w:t>М</w:t>
      </w:r>
      <w:r w:rsidRPr="00D87273">
        <w:rPr>
          <w:vertAlign w:val="superscript"/>
        </w:rPr>
        <w:t xml:space="preserve">2 </w:t>
      </w:r>
      <w:r>
        <w:t xml:space="preserve">= </w:t>
      </w:r>
      <w:r>
        <w:rPr>
          <w:b/>
          <w:bCs/>
        </w:rPr>
        <w:t xml:space="preserve">√ </w:t>
      </w:r>
      <w:r>
        <w:t>(РОСТ в СМ х ВЕС в КГ)/3600 или</w:t>
      </w:r>
    </w:p>
    <w:p w14:paraId="3645E997" w14:textId="77777777" w:rsidR="009D4C87" w:rsidRDefault="009D4C87" w:rsidP="009D4C87">
      <w:pPr>
        <w:autoSpaceDE w:val="0"/>
        <w:autoSpaceDN w:val="0"/>
        <w:ind w:firstLine="397"/>
        <w:jc w:val="both"/>
      </w:pPr>
      <w:r>
        <w:t>М</w:t>
      </w:r>
      <w:r w:rsidRPr="00D87273">
        <w:rPr>
          <w:vertAlign w:val="superscript"/>
        </w:rPr>
        <w:t>2</w:t>
      </w:r>
      <w:r>
        <w:t xml:space="preserve"> = (4 х вес + 7): (вес+90) (4, 7, 90 - постоянные величины).</w:t>
      </w:r>
    </w:p>
    <w:p w14:paraId="331F20E5" w14:textId="77777777" w:rsidR="009D4C87" w:rsidRDefault="009D4C87" w:rsidP="009D4C87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4C3DBF44" w14:textId="77777777" w:rsidR="009D4C87" w:rsidRDefault="009D4C87" w:rsidP="009D4C87">
      <w:pPr>
        <w:autoSpaceDE w:val="0"/>
        <w:autoSpaceDN w:val="0"/>
        <w:ind w:firstLine="397"/>
        <w:jc w:val="center"/>
      </w:pPr>
      <w:r>
        <w:rPr>
          <w:b/>
          <w:bCs/>
        </w:rPr>
        <w:t xml:space="preserve">Изменение схемы </w:t>
      </w:r>
      <w:r>
        <w:rPr>
          <w:b/>
          <w:bCs/>
          <w:lang w:val="en-US"/>
        </w:rPr>
        <w:t>APT</w:t>
      </w:r>
      <w:r>
        <w:rPr>
          <w:b/>
          <w:bCs/>
        </w:rPr>
        <w:t xml:space="preserve"> при развитии непереносимости АРВ - препаратов</w:t>
      </w:r>
    </w:p>
    <w:p w14:paraId="77DF77E1" w14:textId="2201A829" w:rsidR="009D4C87" w:rsidRDefault="009D4C87" w:rsidP="009D4C87">
      <w:pPr>
        <w:autoSpaceDE w:val="0"/>
        <w:autoSpaceDN w:val="0"/>
        <w:ind w:firstLine="397"/>
        <w:jc w:val="center"/>
        <w:rPr>
          <w:b/>
          <w:bCs/>
        </w:rPr>
      </w:pPr>
      <w:r>
        <w:rPr>
          <w:b/>
          <w:bCs/>
        </w:rPr>
        <w:t>Смена АРВ - препаратов при развитии лекарственной непереносимости:</w:t>
      </w:r>
    </w:p>
    <w:p w14:paraId="43F558F8" w14:textId="77777777" w:rsidR="009D4C87" w:rsidRDefault="009D4C87" w:rsidP="009D4C87">
      <w:pPr>
        <w:autoSpaceDE w:val="0"/>
        <w:autoSpaceDN w:val="0"/>
        <w:ind w:firstLine="39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4099"/>
        <w:gridCol w:w="4292"/>
      </w:tblGrid>
      <w:tr w:rsidR="009D4C87" w14:paraId="740FC04A" w14:textId="77777777" w:rsidTr="00FF409B"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4B59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Исходный препарат</w:t>
            </w:r>
          </w:p>
        </w:tc>
        <w:tc>
          <w:tcPr>
            <w:tcW w:w="2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668E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Токсическая реакция</w:t>
            </w:r>
          </w:p>
        </w:tc>
        <w:tc>
          <w:tcPr>
            <w:tcW w:w="2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2B87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 xml:space="preserve">Альтернативный препарат </w:t>
            </w:r>
          </w:p>
          <w:p w14:paraId="5D03C0FE" w14:textId="77777777" w:rsidR="009D4C87" w:rsidRDefault="009D4C87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(в порядке приоритетности)</w:t>
            </w:r>
          </w:p>
        </w:tc>
      </w:tr>
      <w:tr w:rsidR="009D4C87" w14:paraId="3F35B461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C5EE" w14:textId="682731EB" w:rsidR="009D4C87" w:rsidRPr="00C37C64" w:rsidRDefault="009D4C87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  <w:lang w:val="en-US"/>
              </w:rPr>
              <w:t>AZT</w:t>
            </w:r>
            <w:r w:rsidR="00C37C64">
              <w:rPr>
                <w:b/>
                <w:bCs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F66F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Анемия, нейтропения, астения, бессонница, головная боль, тошнота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1ED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ABC, TDF</w:t>
            </w:r>
          </w:p>
        </w:tc>
      </w:tr>
      <w:tr w:rsidR="009D4C87" w14:paraId="6C156D20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BA91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3ТС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118A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Специфические токсические реакции не выявлены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8BD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Другие НИОТ</w:t>
            </w:r>
          </w:p>
        </w:tc>
      </w:tr>
      <w:tr w:rsidR="009D4C87" w14:paraId="722EDFE3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6368" w14:textId="218B62FF" w:rsidR="009D4C87" w:rsidRPr="00C37C64" w:rsidRDefault="009D4C87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  <w:lang w:val="en-US"/>
              </w:rPr>
              <w:t>TDF</w:t>
            </w:r>
            <w:r w:rsidR="00C37C64">
              <w:rPr>
                <w:b/>
                <w:bCs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4D2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Нефропатия, нарушение минерализации костей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5F67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 xml:space="preserve">ABC, </w:t>
            </w:r>
            <w:r w:rsidRPr="00127D3E">
              <w:rPr>
                <w:lang w:val="en-US"/>
              </w:rPr>
              <w:t>AZT</w:t>
            </w:r>
            <w:r>
              <w:rPr>
                <w:lang w:val="en-US"/>
              </w:rPr>
              <w:t xml:space="preserve">, </w:t>
            </w:r>
          </w:p>
        </w:tc>
      </w:tr>
      <w:tr w:rsidR="009D4C87" w14:paraId="4026C35A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EFD8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  <w:lang w:val="en-US"/>
              </w:rPr>
              <w:t>ABC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E5FF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t>Реакция гиперчувствительности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7C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 xml:space="preserve">TDF, </w:t>
            </w:r>
            <w:r w:rsidRPr="00127D3E">
              <w:rPr>
                <w:lang w:val="en-US"/>
              </w:rPr>
              <w:t>AZT</w:t>
            </w:r>
          </w:p>
        </w:tc>
      </w:tr>
      <w:tr w:rsidR="009D4C87" w14:paraId="6FFA860A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272B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C96C5F">
              <w:rPr>
                <w:b/>
                <w:bCs/>
                <w:lang w:val="en-US"/>
              </w:rPr>
              <w:t>EFV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5D6F" w14:textId="77777777" w:rsidR="009D4C87" w:rsidRPr="00C71DC8" w:rsidRDefault="009D4C87" w:rsidP="00FF409B">
            <w:pPr>
              <w:autoSpaceDE w:val="0"/>
              <w:autoSpaceDN w:val="0"/>
              <w:adjustRightInd w:val="0"/>
              <w:rPr>
                <w:rFonts w:eastAsia="Arial-BoldMT"/>
                <w:color w:val="auto"/>
              </w:rPr>
            </w:pPr>
            <w:r w:rsidRPr="00C96C5F">
              <w:rPr>
                <w:rFonts w:eastAsia="Arial-BoldMT"/>
                <w:color w:val="auto"/>
              </w:rPr>
              <w:t xml:space="preserve">Нейропсихи-атрические события </w:t>
            </w:r>
            <w:r w:rsidRPr="00C96C5F">
              <w:rPr>
                <w:rFonts w:eastAsia="ArialMT"/>
                <w:color w:val="auto"/>
              </w:rPr>
              <w:t>(в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том числе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депрессия,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расстройства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сна,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головная</w:t>
            </w:r>
            <w:r>
              <w:rPr>
                <w:rFonts w:eastAsia="ArialMT"/>
                <w:color w:val="auto"/>
              </w:rPr>
              <w:t xml:space="preserve"> </w:t>
            </w:r>
            <w:r w:rsidRPr="00C96C5F">
              <w:rPr>
                <w:rFonts w:eastAsia="ArialMT"/>
                <w:color w:val="auto"/>
              </w:rPr>
              <w:t>боль)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49BB" w14:textId="77777777" w:rsidR="009D4C87" w:rsidRPr="00C96C5F" w:rsidRDefault="009D4C87" w:rsidP="00FF409B">
            <w:pPr>
              <w:autoSpaceDE w:val="0"/>
              <w:autoSpaceDN w:val="0"/>
              <w:jc w:val="both"/>
            </w:pPr>
            <w:r w:rsidRPr="00C71DC8">
              <w:rPr>
                <w:rFonts w:eastAsia="ArialMT"/>
                <w:color w:val="auto"/>
              </w:rPr>
              <w:t>ETV, RPV,</w:t>
            </w:r>
            <w:r>
              <w:rPr>
                <w:rFonts w:ascii="ArialMT" w:eastAsia="ArialMT" w:cs="ArialMT"/>
                <w:color w:val="auto"/>
                <w:sz w:val="14"/>
                <w:szCs w:val="14"/>
              </w:rPr>
              <w:t xml:space="preserve"> </w:t>
            </w:r>
            <w:r>
              <w:rPr>
                <w:lang w:val="en-US"/>
              </w:rPr>
              <w:t>DTG</w:t>
            </w:r>
          </w:p>
        </w:tc>
      </w:tr>
      <w:tr w:rsidR="000901E9" w14:paraId="5CB6BD71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3198" w14:textId="17F3722B" w:rsidR="000901E9" w:rsidRPr="000901E9" w:rsidRDefault="000901E9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0901E9">
              <w:rPr>
                <w:rFonts w:eastAsia="ArialMT"/>
                <w:b/>
                <w:bCs/>
                <w:color w:val="auto"/>
                <w:lang w:eastAsia="en-US"/>
              </w:rPr>
              <w:t>ETV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412D" w14:textId="2240A690" w:rsidR="000901E9" w:rsidRPr="00C96C5F" w:rsidRDefault="000901E9" w:rsidP="00FF409B">
            <w:pPr>
              <w:autoSpaceDE w:val="0"/>
              <w:autoSpaceDN w:val="0"/>
              <w:adjustRightInd w:val="0"/>
              <w:rPr>
                <w:rFonts w:eastAsia="Arial-BoldMT"/>
                <w:color w:val="auto"/>
              </w:rPr>
            </w:pPr>
            <w:r>
              <w:rPr>
                <w:rFonts w:eastAsia="Arial-BoldMT"/>
                <w:color w:val="auto"/>
              </w:rPr>
              <w:t xml:space="preserve">Сыпь 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4B97" w14:textId="0E112DEB" w:rsidR="000901E9" w:rsidRPr="000901E9" w:rsidRDefault="000901E9" w:rsidP="00FF409B">
            <w:pPr>
              <w:autoSpaceDE w:val="0"/>
              <w:autoSpaceDN w:val="0"/>
              <w:jc w:val="both"/>
              <w:rPr>
                <w:rFonts w:eastAsia="ArialMT"/>
                <w:color w:val="auto"/>
              </w:rPr>
            </w:pPr>
            <w:r w:rsidRPr="00C71DC8">
              <w:rPr>
                <w:rFonts w:eastAsia="ArialMT"/>
                <w:color w:val="auto"/>
              </w:rPr>
              <w:t>RPV,</w:t>
            </w:r>
            <w:r>
              <w:rPr>
                <w:rFonts w:ascii="ArialMT" w:eastAsia="ArialMT" w:cs="ArialMT"/>
                <w:color w:val="auto"/>
                <w:sz w:val="14"/>
                <w:szCs w:val="14"/>
              </w:rPr>
              <w:t xml:space="preserve"> </w:t>
            </w:r>
            <w:r>
              <w:rPr>
                <w:lang w:val="en-US"/>
              </w:rPr>
              <w:t>DTG</w:t>
            </w:r>
            <w:r>
              <w:t>, ИП</w:t>
            </w:r>
          </w:p>
        </w:tc>
      </w:tr>
      <w:tr w:rsidR="000901E9" w:rsidRPr="000901E9" w14:paraId="5306B18D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172C" w14:textId="2932EBC3" w:rsidR="000901E9" w:rsidRPr="000901E9" w:rsidRDefault="000901E9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0901E9">
              <w:rPr>
                <w:rFonts w:eastAsia="ArialMT"/>
                <w:b/>
                <w:bCs/>
                <w:color w:val="auto"/>
                <w:lang w:eastAsia="en-US"/>
              </w:rPr>
              <w:t>RPV</w:t>
            </w:r>
            <w:r w:rsidR="00C37C64">
              <w:rPr>
                <w:rFonts w:eastAsia="ArialMT"/>
                <w:b/>
                <w:bCs/>
                <w:color w:val="auto"/>
                <w:lang w:eastAsia="en-US"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E566" w14:textId="0D28CC24" w:rsidR="000901E9" w:rsidRPr="000901E9" w:rsidRDefault="000901E9" w:rsidP="000901E9">
            <w:pPr>
              <w:autoSpaceDE w:val="0"/>
              <w:autoSpaceDN w:val="0"/>
              <w:adjustRightInd w:val="0"/>
              <w:rPr>
                <w:rFonts w:eastAsia="ArialMT"/>
                <w:color w:val="auto"/>
                <w:lang w:eastAsia="en-US"/>
              </w:rPr>
            </w:pPr>
            <w:r>
              <w:rPr>
                <w:rFonts w:eastAsia="Arial-BoldMT"/>
                <w:color w:val="auto"/>
              </w:rPr>
              <w:t xml:space="preserve">Сыпь; гепатит; </w:t>
            </w:r>
            <w:r w:rsidRPr="000901E9">
              <w:rPr>
                <w:rFonts w:eastAsia="ArialMT"/>
                <w:color w:val="auto"/>
                <w:lang w:eastAsia="en-US"/>
              </w:rPr>
              <w:t>Депрессия,</w:t>
            </w:r>
            <w:r>
              <w:rPr>
                <w:rFonts w:eastAsia="ArialMT"/>
                <w:color w:val="auto"/>
                <w:lang w:eastAsia="en-US"/>
              </w:rPr>
              <w:t xml:space="preserve"> </w:t>
            </w:r>
            <w:r w:rsidRPr="000901E9">
              <w:rPr>
                <w:rFonts w:eastAsia="ArialMT"/>
                <w:color w:val="auto"/>
                <w:lang w:eastAsia="en-US"/>
              </w:rPr>
              <w:t>расстройства</w:t>
            </w:r>
            <w:r>
              <w:rPr>
                <w:rFonts w:eastAsia="ArialMT"/>
                <w:color w:val="auto"/>
                <w:lang w:eastAsia="en-US"/>
              </w:rPr>
              <w:t xml:space="preserve"> </w:t>
            </w:r>
            <w:r w:rsidRPr="000901E9">
              <w:rPr>
                <w:rFonts w:eastAsia="ArialMT"/>
                <w:color w:val="auto"/>
                <w:lang w:eastAsia="en-US"/>
              </w:rPr>
              <w:t>сна, головная</w:t>
            </w:r>
            <w:r>
              <w:rPr>
                <w:rFonts w:eastAsia="ArialMT"/>
                <w:color w:val="auto"/>
                <w:lang w:eastAsia="en-US"/>
              </w:rPr>
              <w:t xml:space="preserve"> </w:t>
            </w:r>
            <w:r w:rsidRPr="000901E9">
              <w:rPr>
                <w:rFonts w:eastAsia="ArialMT"/>
                <w:color w:val="auto"/>
                <w:lang w:eastAsia="en-US"/>
              </w:rPr>
              <w:t>боль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61FB" w14:textId="618C342E" w:rsidR="000901E9" w:rsidRPr="000901E9" w:rsidRDefault="000901E9" w:rsidP="00FF409B">
            <w:pPr>
              <w:autoSpaceDE w:val="0"/>
              <w:autoSpaceDN w:val="0"/>
              <w:jc w:val="both"/>
              <w:rPr>
                <w:rFonts w:eastAsia="ArialMT"/>
                <w:color w:val="auto"/>
              </w:rPr>
            </w:pPr>
            <w:r>
              <w:rPr>
                <w:lang w:val="en-US"/>
              </w:rPr>
              <w:t>DTG</w:t>
            </w:r>
            <w:r w:rsidRPr="000901E9">
              <w:t xml:space="preserve">, </w:t>
            </w:r>
            <w:r>
              <w:rPr>
                <w:lang w:val="en-US"/>
              </w:rPr>
              <w:t>DRV</w:t>
            </w:r>
            <w:r w:rsidRPr="000901E9">
              <w:t>/</w:t>
            </w:r>
            <w:r>
              <w:rPr>
                <w:lang w:val="en-US"/>
              </w:rPr>
              <w:t>r</w:t>
            </w:r>
            <w:r w:rsidRPr="000901E9">
              <w:t xml:space="preserve">, </w:t>
            </w:r>
            <w:r>
              <w:t>др</w:t>
            </w:r>
            <w:r w:rsidRPr="000901E9">
              <w:t xml:space="preserve"> </w:t>
            </w:r>
            <w:r>
              <w:t>ННИОТ</w:t>
            </w:r>
          </w:p>
        </w:tc>
      </w:tr>
      <w:tr w:rsidR="000901E9" w:rsidRPr="000901E9" w14:paraId="0A72EAF7" w14:textId="77777777" w:rsidTr="00FF409B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5276" w14:textId="5D656DC1" w:rsidR="000901E9" w:rsidRPr="00C37C64" w:rsidRDefault="00C37C64" w:rsidP="00FF409B">
            <w:pPr>
              <w:autoSpaceDE w:val="0"/>
              <w:autoSpaceDN w:val="0"/>
              <w:jc w:val="both"/>
              <w:rPr>
                <w:rFonts w:eastAsia="ArialMT"/>
                <w:b/>
                <w:bCs/>
                <w:color w:val="auto"/>
                <w:lang w:eastAsia="en-US"/>
              </w:rPr>
            </w:pPr>
            <w:r w:rsidRPr="00C37C64">
              <w:rPr>
                <w:b/>
                <w:bCs/>
                <w:lang w:val="en-US"/>
              </w:rPr>
              <w:t>DTG</w:t>
            </w:r>
            <w:r>
              <w:rPr>
                <w:b/>
                <w:bCs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1DF6" w14:textId="40E361AC" w:rsidR="000901E9" w:rsidRDefault="000901E9" w:rsidP="000901E9">
            <w:pPr>
              <w:autoSpaceDE w:val="0"/>
              <w:autoSpaceDN w:val="0"/>
              <w:adjustRightInd w:val="0"/>
              <w:rPr>
                <w:rFonts w:eastAsia="Arial-BoldMT"/>
                <w:color w:val="auto"/>
              </w:rPr>
            </w:pPr>
            <w:r>
              <w:rPr>
                <w:rFonts w:eastAsia="Arial-BoldMT"/>
                <w:color w:val="auto"/>
              </w:rPr>
              <w:t>Сыпь, тошнота</w:t>
            </w:r>
            <w:r w:rsidR="00C37C64">
              <w:rPr>
                <w:rFonts w:eastAsia="Arial-BoldMT"/>
                <w:color w:val="auto"/>
              </w:rPr>
              <w:t xml:space="preserve">, </w:t>
            </w:r>
            <w:r w:rsidR="00C37C64" w:rsidRPr="000901E9">
              <w:rPr>
                <w:rFonts w:eastAsia="ArialMT"/>
                <w:color w:val="auto"/>
                <w:lang w:eastAsia="en-US"/>
              </w:rPr>
              <w:t>расстройства</w:t>
            </w:r>
            <w:r w:rsidR="00C37C64">
              <w:rPr>
                <w:rFonts w:eastAsia="ArialMT"/>
                <w:color w:val="auto"/>
                <w:lang w:eastAsia="en-US"/>
              </w:rPr>
              <w:t xml:space="preserve"> </w:t>
            </w:r>
            <w:r w:rsidR="00C37C64" w:rsidRPr="000901E9">
              <w:rPr>
                <w:rFonts w:eastAsia="ArialMT"/>
                <w:color w:val="auto"/>
                <w:lang w:eastAsia="en-US"/>
              </w:rPr>
              <w:t>сна, головная</w:t>
            </w:r>
            <w:r w:rsidR="00C37C64">
              <w:rPr>
                <w:rFonts w:eastAsia="ArialMT"/>
                <w:color w:val="auto"/>
                <w:lang w:eastAsia="en-US"/>
              </w:rPr>
              <w:t xml:space="preserve"> </w:t>
            </w:r>
            <w:r w:rsidR="00C37C64" w:rsidRPr="000901E9">
              <w:rPr>
                <w:rFonts w:eastAsia="ArialMT"/>
                <w:color w:val="auto"/>
                <w:lang w:eastAsia="en-US"/>
              </w:rPr>
              <w:t>боль</w:t>
            </w:r>
            <w:r w:rsidR="00C37C64">
              <w:rPr>
                <w:rFonts w:eastAsia="ArialMT"/>
                <w:color w:val="auto"/>
                <w:lang w:eastAsia="en-US"/>
              </w:rPr>
              <w:t>, увеличение массы тела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1679" w14:textId="38A2D89B" w:rsidR="000901E9" w:rsidRPr="00C37C64" w:rsidRDefault="00C37C6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  <w:r w:rsidRPr="000901E9">
              <w:t>/</w:t>
            </w:r>
            <w:r>
              <w:rPr>
                <w:lang w:val="en-US"/>
              </w:rPr>
              <w:t>r</w:t>
            </w:r>
            <w:r w:rsidRPr="000901E9">
              <w:t xml:space="preserve">, </w:t>
            </w:r>
            <w:r>
              <w:t>ННИОТ</w:t>
            </w:r>
          </w:p>
        </w:tc>
      </w:tr>
      <w:tr w:rsidR="009D4C87" w14:paraId="46976038" w14:textId="77777777" w:rsidTr="00FF409B">
        <w:tc>
          <w:tcPr>
            <w:tcW w:w="8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1841" w14:textId="5FF88DD1" w:rsidR="009D4C87" w:rsidRPr="00C37C64" w:rsidRDefault="009D4C87" w:rsidP="00FF409B">
            <w:pPr>
              <w:autoSpaceDE w:val="0"/>
              <w:autoSpaceDN w:val="0"/>
              <w:jc w:val="both"/>
              <w:rPr>
                <w:vertAlign w:val="superscript"/>
              </w:rPr>
            </w:pPr>
            <w:r>
              <w:rPr>
                <w:b/>
                <w:bCs/>
                <w:lang w:val="en-US"/>
              </w:rPr>
              <w:t>LPV/r</w:t>
            </w:r>
            <w:r w:rsidR="00C37C64">
              <w:rPr>
                <w:b/>
                <w:bCs/>
              </w:rPr>
              <w:t>*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61BB" w14:textId="1FDD2A15" w:rsidR="009D4C87" w:rsidRDefault="009D4C87" w:rsidP="00FF409B">
            <w:pPr>
              <w:autoSpaceDE w:val="0"/>
              <w:autoSpaceDN w:val="0"/>
              <w:jc w:val="both"/>
            </w:pPr>
            <w:r>
              <w:t>Диарея</w:t>
            </w:r>
            <w:r w:rsidR="000901E9">
              <w:t>, Нарушения липидного и углеводного обмена</w:t>
            </w:r>
          </w:p>
        </w:tc>
        <w:tc>
          <w:tcPr>
            <w:tcW w:w="21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4756" w14:textId="77777777" w:rsidR="009D4C87" w:rsidRDefault="009D4C87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, ННИОТ или </w:t>
            </w:r>
            <w:r>
              <w:rPr>
                <w:lang w:val="en-US"/>
              </w:rPr>
              <w:t>DTG</w:t>
            </w:r>
            <w:r>
              <w:t xml:space="preserve">, </w:t>
            </w:r>
            <w:r>
              <w:rPr>
                <w:lang w:val="en-US"/>
              </w:rPr>
              <w:t>RAL</w:t>
            </w:r>
          </w:p>
        </w:tc>
      </w:tr>
      <w:tr w:rsidR="009D4C87" w14:paraId="78AB4A89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3241A" w14:textId="77777777" w:rsidR="009D4C87" w:rsidRDefault="009D4C87" w:rsidP="00FF409B"/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D887" w14:textId="4502553A" w:rsidR="009D4C87" w:rsidRDefault="009D4C87" w:rsidP="00FF409B">
            <w:pPr>
              <w:autoSpaceDE w:val="0"/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BA023" w14:textId="77777777" w:rsidR="009D4C87" w:rsidRDefault="009D4C87" w:rsidP="00FF409B"/>
        </w:tc>
      </w:tr>
    </w:tbl>
    <w:p w14:paraId="7A9C298E" w14:textId="5A5C8AF3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</w:p>
    <w:p w14:paraId="2B4B618C" w14:textId="18DB53F2" w:rsidR="00C37C64" w:rsidRDefault="00C37C64" w:rsidP="00C37C64">
      <w:pPr>
        <w:autoSpaceDE w:val="0"/>
        <w:autoSpaceDN w:val="0"/>
        <w:adjustRightInd w:val="0"/>
        <w:rPr>
          <w:rFonts w:eastAsia="ArialMT"/>
          <w:color w:val="auto"/>
          <w:lang w:eastAsia="en-US"/>
        </w:rPr>
      </w:pPr>
      <w:r>
        <w:rPr>
          <w:b/>
          <w:bCs/>
        </w:rPr>
        <w:t>*</w:t>
      </w:r>
      <w:r w:rsidRPr="00C37C64">
        <w:rPr>
          <w:rFonts w:ascii="ArialMT" w:eastAsia="ArialMT" w:hAnsiTheme="minorHAnsi" w:cs="ArialMT" w:hint="eastAsia"/>
          <w:color w:val="auto"/>
          <w:sz w:val="14"/>
          <w:szCs w:val="14"/>
          <w:lang w:eastAsia="en-US"/>
        </w:rPr>
        <w:t xml:space="preserve"> </w:t>
      </w:r>
      <w:r w:rsidR="009937EE" w:rsidRPr="009937EE">
        <w:rPr>
          <w:rFonts w:eastAsia="ArialMT"/>
          <w:color w:val="auto"/>
          <w:lang w:eastAsia="en-US"/>
        </w:rPr>
        <w:t>Снижение рСКФ</w:t>
      </w:r>
      <w:r w:rsidR="009937EE">
        <w:rPr>
          <w:rFonts w:ascii="ArialMT" w:eastAsia="ArialMT" w:hAnsiTheme="minorHAnsi" w:cs="ArialMT"/>
          <w:color w:val="auto"/>
          <w:sz w:val="14"/>
          <w:szCs w:val="14"/>
          <w:lang w:eastAsia="en-US"/>
        </w:rPr>
        <w:t xml:space="preserve"> </w:t>
      </w:r>
      <w:r w:rsidR="009937EE">
        <w:rPr>
          <w:rFonts w:eastAsia="ArialMT"/>
          <w:color w:val="auto"/>
          <w:lang w:eastAsia="en-US"/>
        </w:rPr>
        <w:t>в</w:t>
      </w:r>
      <w:r w:rsidRPr="00C37C64">
        <w:rPr>
          <w:rFonts w:eastAsia="ArialMT"/>
          <w:color w:val="auto"/>
          <w:lang w:eastAsia="en-US"/>
        </w:rPr>
        <w:t>следствие угнетения канальцевой секреции креатинина почками безвоздействия на саму клубочковую фильтрацию</w:t>
      </w:r>
      <w:r>
        <w:rPr>
          <w:rFonts w:eastAsia="ArialMT"/>
          <w:color w:val="auto"/>
          <w:lang w:eastAsia="en-US"/>
        </w:rPr>
        <w:t xml:space="preserve"> (периодически </w:t>
      </w:r>
      <w:r w:rsidR="009937EE">
        <w:rPr>
          <w:rFonts w:eastAsia="ArialMT"/>
          <w:color w:val="auto"/>
          <w:lang w:eastAsia="en-US"/>
        </w:rPr>
        <w:t>к</w:t>
      </w:r>
      <w:r>
        <w:rPr>
          <w:rFonts w:eastAsia="ArialMT"/>
          <w:color w:val="auto"/>
          <w:lang w:eastAsia="en-US"/>
        </w:rPr>
        <w:t>онтроль СКФ)</w:t>
      </w:r>
      <w:r w:rsidRPr="00C37C64">
        <w:rPr>
          <w:rFonts w:eastAsia="ArialMT"/>
          <w:color w:val="auto"/>
          <w:lang w:eastAsia="en-US"/>
        </w:rPr>
        <w:t>.</w:t>
      </w:r>
    </w:p>
    <w:p w14:paraId="3EFDCBA2" w14:textId="77777777" w:rsidR="00C37C64" w:rsidRPr="00C37C64" w:rsidRDefault="00C37C64" w:rsidP="00C37C64">
      <w:pPr>
        <w:autoSpaceDE w:val="0"/>
        <w:autoSpaceDN w:val="0"/>
        <w:adjustRightInd w:val="0"/>
        <w:rPr>
          <w:rFonts w:eastAsia="ArialMT"/>
          <w:color w:val="auto"/>
          <w:lang w:eastAsia="en-US"/>
        </w:rPr>
      </w:pPr>
    </w:p>
    <w:p w14:paraId="68B98425" w14:textId="691F8E1F" w:rsidR="009D4C87" w:rsidRDefault="009D4C87" w:rsidP="009D4C87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Изменение схемы </w:t>
      </w:r>
      <w:r>
        <w:rPr>
          <w:b/>
          <w:bCs/>
          <w:lang w:val="en-US"/>
        </w:rPr>
        <w:t>APT</w:t>
      </w:r>
      <w:r>
        <w:rPr>
          <w:b/>
          <w:bCs/>
        </w:rPr>
        <w:t xml:space="preserve"> при развитии лекарственной резистентности к АРВП:</w:t>
      </w:r>
    </w:p>
    <w:p w14:paraId="300F7F0C" w14:textId="77777777" w:rsidR="009D4C87" w:rsidRDefault="009D4C87" w:rsidP="009D4C87">
      <w:pPr>
        <w:autoSpaceDE w:val="0"/>
        <w:autoSpaceDN w:val="0"/>
        <w:ind w:firstLine="397"/>
        <w:jc w:val="both"/>
      </w:pPr>
      <w:r>
        <w:lastRenderedPageBreak/>
        <w:t>Неудача лечения определяется как постоянно выявляемая вирусная нагрузка более 50 копий/мл по результатам двух последовательных измерений, проведенных с интервалом в 2-4 недели, но не ранее, чем через шесть месяцев после начала использования АРВ - препаратов.</w:t>
      </w:r>
    </w:p>
    <w:p w14:paraId="5D89AFA5" w14:textId="77777777" w:rsidR="009D4C87" w:rsidRDefault="009D4C87" w:rsidP="009D4C87">
      <w:pPr>
        <w:autoSpaceDE w:val="0"/>
        <w:autoSpaceDN w:val="0"/>
        <w:ind w:firstLine="397"/>
        <w:jc w:val="both"/>
      </w:pPr>
      <w:r>
        <w:t xml:space="preserve">Схема </w:t>
      </w:r>
      <w:r>
        <w:rPr>
          <w:lang w:val="en-US"/>
        </w:rPr>
        <w:t>APT</w:t>
      </w:r>
      <w:r>
        <w:t xml:space="preserve"> 2 ряда назначается в случае клинической или иммунологической неэффективности лечения и не ранее чем через 24 недели от начала терапии, с включением не менее трех новых препаратов, один из которых должен принадлежать к новому классу. К преимуществам схем на основе ингибиторов протеазы (ИП) и интегразы (ИИ) относятся доказанная клиническая эффективность. Новые схемы подбирать с учетом результатов резистентности ВИЧ к АРВП.</w:t>
      </w:r>
    </w:p>
    <w:p w14:paraId="0624474E" w14:textId="77777777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</w:p>
    <w:p w14:paraId="38D02034" w14:textId="7449D5BC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  <w:r w:rsidRPr="0012791A">
        <w:rPr>
          <w:b/>
          <w:bCs/>
        </w:rPr>
        <w:t>Схемы антиретровирусной терапии второго ряда:</w:t>
      </w:r>
      <w:r w:rsidRPr="00FD41C3">
        <w:rPr>
          <w:b/>
          <w:bCs/>
          <w:highlight w:val="yellow"/>
        </w:rPr>
        <w:t xml:space="preserve"> </w:t>
      </w:r>
    </w:p>
    <w:p w14:paraId="7A1ADE37" w14:textId="77777777" w:rsidR="009D4C87" w:rsidRDefault="009D4C87" w:rsidP="009D4C87">
      <w:pPr>
        <w:autoSpaceDE w:val="0"/>
        <w:autoSpaceDN w:val="0"/>
        <w:ind w:firstLine="397"/>
        <w:jc w:val="both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637"/>
        <w:gridCol w:w="2757"/>
        <w:gridCol w:w="2851"/>
      </w:tblGrid>
      <w:tr w:rsidR="009D4C87" w14:paraId="63294DE1" w14:textId="77777777" w:rsidTr="00FF409B">
        <w:tc>
          <w:tcPr>
            <w:tcW w:w="1951" w:type="dxa"/>
          </w:tcPr>
          <w:p w14:paraId="4AB3D812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Контингент</w:t>
            </w:r>
          </w:p>
        </w:tc>
        <w:tc>
          <w:tcPr>
            <w:tcW w:w="2835" w:type="dxa"/>
          </w:tcPr>
          <w:p w14:paraId="7075002E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Неудачная схема первого ряда</w:t>
            </w:r>
          </w:p>
        </w:tc>
        <w:tc>
          <w:tcPr>
            <w:tcW w:w="2832" w:type="dxa"/>
          </w:tcPr>
          <w:p w14:paraId="5394D627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Предпочтительная схема второго ряда</w:t>
            </w:r>
          </w:p>
        </w:tc>
        <w:tc>
          <w:tcPr>
            <w:tcW w:w="2980" w:type="dxa"/>
          </w:tcPr>
          <w:p w14:paraId="0FE8704F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Альтернативная схема второго ряда</w:t>
            </w:r>
          </w:p>
        </w:tc>
      </w:tr>
      <w:tr w:rsidR="009D4C87" w:rsidRPr="008C448E" w14:paraId="49E49935" w14:textId="77777777" w:rsidTr="00FF409B">
        <w:trPr>
          <w:trHeight w:val="659"/>
        </w:trPr>
        <w:tc>
          <w:tcPr>
            <w:tcW w:w="1951" w:type="dxa"/>
            <w:vMerge w:val="restart"/>
          </w:tcPr>
          <w:p w14:paraId="429DA002" w14:textId="77777777" w:rsidR="009D4C87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Дети до 12 лет</w:t>
            </w:r>
          </w:p>
        </w:tc>
        <w:tc>
          <w:tcPr>
            <w:tcW w:w="2835" w:type="dxa"/>
          </w:tcPr>
          <w:p w14:paraId="34103C74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ABC + 3TC + DTGe </w:t>
            </w:r>
          </w:p>
        </w:tc>
        <w:tc>
          <w:tcPr>
            <w:tcW w:w="2832" w:type="dxa"/>
          </w:tcPr>
          <w:p w14:paraId="6DEBEBCE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AZT+ 3TC + LPV/r (or ATV/rf)</w:t>
            </w:r>
          </w:p>
        </w:tc>
        <w:tc>
          <w:tcPr>
            <w:tcW w:w="2980" w:type="dxa"/>
          </w:tcPr>
          <w:p w14:paraId="0EC22A7C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AZT +3TC + </w:t>
            </w:r>
            <w:r w:rsidRPr="00AA1810">
              <w:rPr>
                <w:color w:val="auto"/>
                <w:sz w:val="22"/>
                <w:szCs w:val="22"/>
                <w:lang w:val="en-US"/>
              </w:rPr>
              <w:t>ET</w:t>
            </w:r>
            <w:r>
              <w:rPr>
                <w:color w:val="auto"/>
                <w:sz w:val="22"/>
                <w:szCs w:val="22"/>
                <w:lang w:val="en-US"/>
              </w:rPr>
              <w:t>V</w:t>
            </w:r>
          </w:p>
        </w:tc>
      </w:tr>
      <w:tr w:rsidR="009D4C87" w:rsidRPr="00B52EFF" w14:paraId="0F328D9C" w14:textId="77777777" w:rsidTr="00FF409B">
        <w:tc>
          <w:tcPr>
            <w:tcW w:w="1951" w:type="dxa"/>
            <w:vMerge/>
          </w:tcPr>
          <w:p w14:paraId="61D66F00" w14:textId="77777777" w:rsidR="009D4C87" w:rsidRPr="008C448E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7A6D50A7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ABC (or AZT)+3TC+ LPV/r </w:t>
            </w:r>
          </w:p>
        </w:tc>
        <w:tc>
          <w:tcPr>
            <w:tcW w:w="2832" w:type="dxa"/>
          </w:tcPr>
          <w:p w14:paraId="4EBC07F5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(or ABC) + 3TC + DTG</w:t>
            </w:r>
          </w:p>
        </w:tc>
        <w:tc>
          <w:tcPr>
            <w:tcW w:w="2980" w:type="dxa"/>
          </w:tcPr>
          <w:p w14:paraId="1E8A346C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(or ABC) +3TC + RAL</w:t>
            </w:r>
          </w:p>
          <w:p w14:paraId="3709D4B9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AZT +3TC + </w:t>
            </w:r>
            <w:r w:rsidRPr="00AA1810">
              <w:rPr>
                <w:color w:val="auto"/>
                <w:sz w:val="22"/>
                <w:szCs w:val="22"/>
                <w:lang w:val="en-US"/>
              </w:rPr>
              <w:t>ETR</w:t>
            </w:r>
          </w:p>
        </w:tc>
      </w:tr>
      <w:tr w:rsidR="009D4C87" w:rsidRPr="00B52EFF" w14:paraId="3782F4F5" w14:textId="77777777" w:rsidTr="00FF409B">
        <w:tc>
          <w:tcPr>
            <w:tcW w:w="1951" w:type="dxa"/>
            <w:vMerge/>
          </w:tcPr>
          <w:p w14:paraId="216F4954" w14:textId="77777777" w:rsidR="009D4C87" w:rsidRPr="008C448E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455CE312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ABC (or AZT) + 3TC + EFV </w:t>
            </w:r>
          </w:p>
          <w:p w14:paraId="1780154A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</w:tcPr>
          <w:p w14:paraId="27BD7301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(or ABC) + 3TC + DTG</w:t>
            </w:r>
          </w:p>
        </w:tc>
        <w:tc>
          <w:tcPr>
            <w:tcW w:w="2980" w:type="dxa"/>
          </w:tcPr>
          <w:p w14:paraId="29F1ACE7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(or ABC) +3TC + LPV/r (or ATV/rf)</w:t>
            </w:r>
          </w:p>
        </w:tc>
      </w:tr>
      <w:tr w:rsidR="009D4C87" w:rsidRPr="008C448E" w14:paraId="62DA462F" w14:textId="77777777" w:rsidTr="00FF409B">
        <w:tc>
          <w:tcPr>
            <w:tcW w:w="1951" w:type="dxa"/>
            <w:vMerge w:val="restart"/>
          </w:tcPr>
          <w:p w14:paraId="35FC2915" w14:textId="77777777" w:rsidR="009D4C87" w:rsidRPr="00D03B2A" w:rsidRDefault="009D4C87" w:rsidP="00FF409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Дети/подростки старше 12 лет</w:t>
            </w:r>
          </w:p>
        </w:tc>
        <w:tc>
          <w:tcPr>
            <w:tcW w:w="2835" w:type="dxa"/>
          </w:tcPr>
          <w:p w14:paraId="25C0C872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TDFb + 3TC (or FTC) + DTGc  </w:t>
            </w:r>
          </w:p>
        </w:tc>
        <w:tc>
          <w:tcPr>
            <w:tcW w:w="2832" w:type="dxa"/>
          </w:tcPr>
          <w:p w14:paraId="6FD691A2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AZT+ 3TC + ATV/r (or LPV/r)</w:t>
            </w:r>
          </w:p>
        </w:tc>
        <w:tc>
          <w:tcPr>
            <w:tcW w:w="2980" w:type="dxa"/>
          </w:tcPr>
          <w:p w14:paraId="159DD3FD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+ 3TC + DRV/r</w:t>
            </w:r>
          </w:p>
        </w:tc>
      </w:tr>
      <w:tr w:rsidR="009D4C87" w:rsidRPr="00B52EFF" w14:paraId="66EA8CAE" w14:textId="77777777" w:rsidTr="00FF409B">
        <w:tc>
          <w:tcPr>
            <w:tcW w:w="1951" w:type="dxa"/>
            <w:vMerge/>
          </w:tcPr>
          <w:p w14:paraId="6AC35888" w14:textId="77777777" w:rsidR="009D4C87" w:rsidRPr="008C448E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632842FA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TDF + 3TC (or FTC) + EFV</w:t>
            </w:r>
          </w:p>
          <w:p w14:paraId="1A9E6E67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</w:p>
          <w:p w14:paraId="4AFE2961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</w:tcPr>
          <w:p w14:paraId="13863E6A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+3TC + DTGc</w:t>
            </w:r>
          </w:p>
        </w:tc>
        <w:tc>
          <w:tcPr>
            <w:tcW w:w="2980" w:type="dxa"/>
          </w:tcPr>
          <w:p w14:paraId="2015299F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AZT + 3TC + ATV/r (or LPV/r or DRV/r)</w:t>
            </w:r>
          </w:p>
        </w:tc>
      </w:tr>
      <w:tr w:rsidR="009D4C87" w:rsidRPr="00B52EFF" w14:paraId="7B955D1C" w14:textId="77777777" w:rsidTr="00FF409B">
        <w:tc>
          <w:tcPr>
            <w:tcW w:w="1951" w:type="dxa"/>
            <w:vMerge/>
          </w:tcPr>
          <w:p w14:paraId="4F23D9D5" w14:textId="77777777" w:rsidR="009D4C87" w:rsidRPr="008C448E" w:rsidRDefault="009D4C87" w:rsidP="00FF409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2D68AC6D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 xml:space="preserve">AZT + 3TC +EFV  </w:t>
            </w:r>
          </w:p>
          <w:p w14:paraId="23ABA897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</w:tcPr>
          <w:p w14:paraId="0B6F7E47" w14:textId="77777777" w:rsidR="009D4C87" w:rsidRPr="00AA1810" w:rsidRDefault="009D4C87" w:rsidP="00FF409B">
            <w:pPr>
              <w:autoSpaceDE w:val="0"/>
              <w:autoSpaceDN w:val="0"/>
              <w:jc w:val="both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TDF + 3TC (or FTC) + DTGc</w:t>
            </w:r>
          </w:p>
        </w:tc>
        <w:tc>
          <w:tcPr>
            <w:tcW w:w="2980" w:type="dxa"/>
          </w:tcPr>
          <w:p w14:paraId="4F4C1FF7" w14:textId="4AC170E9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TDF + 3TC (or FTC) +ATV/r (or LPV/r or DRV/r)</w:t>
            </w:r>
          </w:p>
          <w:p w14:paraId="36732D15" w14:textId="77777777" w:rsidR="009D4C87" w:rsidRPr="00AA1810" w:rsidRDefault="009D4C87" w:rsidP="00FF409B">
            <w:pPr>
              <w:autoSpaceDE w:val="0"/>
              <w:autoSpaceDN w:val="0"/>
              <w:adjustRightInd w:val="0"/>
              <w:rPr>
                <w:rFonts w:eastAsia="FrutigerLTPro-Condensed"/>
                <w:color w:val="auto"/>
                <w:sz w:val="22"/>
                <w:szCs w:val="22"/>
                <w:lang w:val="en-US"/>
              </w:rPr>
            </w:pPr>
            <w:r w:rsidRPr="00AA1810">
              <w:rPr>
                <w:rFonts w:eastAsia="FrutigerLTPro-Condensed"/>
                <w:color w:val="auto"/>
                <w:sz w:val="22"/>
                <w:szCs w:val="22"/>
                <w:lang w:val="en-US"/>
              </w:rPr>
              <w:t>TDF + 3TC (or FTC) + RPV</w:t>
            </w:r>
          </w:p>
        </w:tc>
      </w:tr>
    </w:tbl>
    <w:p w14:paraId="6472AC8A" w14:textId="1E9ADD90" w:rsidR="009D4C87" w:rsidRDefault="009D4C87">
      <w:pPr>
        <w:rPr>
          <w:lang w:val="en-US"/>
        </w:rPr>
      </w:pPr>
    </w:p>
    <w:p w14:paraId="517592AD" w14:textId="77777777" w:rsidR="00CB25B4" w:rsidRDefault="00CB25B4" w:rsidP="00CB25B4">
      <w:pPr>
        <w:autoSpaceDE w:val="0"/>
        <w:autoSpaceDN w:val="0"/>
        <w:ind w:firstLine="397"/>
        <w:jc w:val="both"/>
      </w:pPr>
      <w:r w:rsidRPr="0012791A">
        <w:rPr>
          <w:b/>
          <w:bCs/>
        </w:rPr>
        <w:t>Схемы антиретровирусной терапии третьего ряда:</w:t>
      </w:r>
    </w:p>
    <w:p w14:paraId="2688E332" w14:textId="77777777" w:rsidR="00CB25B4" w:rsidRDefault="00CB25B4" w:rsidP="00CB25B4">
      <w:pPr>
        <w:autoSpaceDE w:val="0"/>
        <w:autoSpaceDN w:val="0"/>
        <w:ind w:firstLine="397"/>
        <w:jc w:val="both"/>
      </w:pPr>
      <w:r>
        <w:t>Схемы третьего ряда должны включать новые препараты с минимальным риском перекрестной устойчивости к ранее использовавшимся схемам, такие как ИИ, ННИОТ второго поколения и ИП.</w:t>
      </w:r>
    </w:p>
    <w:p w14:paraId="3632AF23" w14:textId="5E32B1B9" w:rsidR="00CB25B4" w:rsidRDefault="00CB25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436"/>
        <w:gridCol w:w="2638"/>
        <w:gridCol w:w="3284"/>
      </w:tblGrid>
      <w:tr w:rsidR="00CB25B4" w14:paraId="3D33BC6B" w14:textId="77777777" w:rsidTr="00FF409B"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65B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Подростки старше 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лет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15B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Схемы первого ряда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E20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Схемы второго ряда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15B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Схема третьего ряда</w:t>
            </w:r>
          </w:p>
        </w:tc>
      </w:tr>
      <w:tr w:rsidR="00CB25B4" w14:paraId="61E1D679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016A9" w14:textId="77777777" w:rsidR="00CB25B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174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EFV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D0D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 + или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 w:rsidRPr="004121A6">
              <w:t xml:space="preserve"> </w:t>
            </w:r>
          </w:p>
          <w:p w14:paraId="780DC410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r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9DE9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 + </w:t>
            </w:r>
            <w:r>
              <w:rPr>
                <w:lang w:val="en-US"/>
              </w:rPr>
              <w:t>DTG</w:t>
            </w:r>
            <w:r w:rsidRPr="004121A6">
              <w:t xml:space="preserve"> </w:t>
            </w:r>
            <w:r>
              <w:t xml:space="preserve">(или </w:t>
            </w:r>
            <w:r>
              <w:rPr>
                <w:lang w:val="en-US"/>
              </w:rPr>
              <w:t>RAL</w:t>
            </w:r>
            <w:r>
              <w:t>) ± 1-2 НИОТ</w:t>
            </w:r>
          </w:p>
        </w:tc>
      </w:tr>
      <w:tr w:rsidR="00CB25B4" w14:paraId="62155725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D033" w14:textId="77777777" w:rsidR="00CB25B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121D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DTG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B75A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 + или </w:t>
            </w:r>
            <w:r>
              <w:rPr>
                <w:lang w:val="en-US"/>
              </w:rPr>
              <w:t>LPV</w:t>
            </w:r>
            <w:r>
              <w:t>/</w:t>
            </w:r>
            <w:r>
              <w:rPr>
                <w:lang w:val="en-US"/>
              </w:rPr>
              <w:t>r</w:t>
            </w:r>
            <w:r w:rsidRPr="004121A6">
              <w:t xml:space="preserve"> </w:t>
            </w:r>
          </w:p>
          <w:p w14:paraId="0C3EE93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r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9D93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r</w:t>
            </w:r>
            <w:r>
              <w:t xml:space="preserve">+2 НИОТ) ± ННИОТ </w:t>
            </w:r>
          </w:p>
          <w:p w14:paraId="74FAEBE3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2</w:t>
            </w:r>
            <w:r>
              <w:rPr>
                <w:lang w:val="en-US"/>
              </w:rPr>
              <w:t>HHOT</w:t>
            </w:r>
            <w:r>
              <w:t>+</w:t>
            </w:r>
            <w:r>
              <w:rPr>
                <w:lang w:val="en-US"/>
              </w:rPr>
              <w:t>ETR</w:t>
            </w:r>
            <w:r>
              <w:rPr>
                <w:vertAlign w:val="superscript"/>
                <w:lang w:val="en-US"/>
              </w:rPr>
              <w:t>a</w:t>
            </w:r>
          </w:p>
          <w:p w14:paraId="59385B59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Оптимизация схемы с использованием генотипического профиля</w:t>
            </w:r>
          </w:p>
        </w:tc>
      </w:tr>
      <w:tr w:rsidR="00CB25B4" w:rsidRPr="00CB25B4" w14:paraId="7F0CCCEB" w14:textId="77777777" w:rsidTr="00FF409B">
        <w:tc>
          <w:tcPr>
            <w:tcW w:w="8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2345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Дети от 0 до 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лет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FF6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LPV/r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1859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Дети до 3 лет </w:t>
            </w:r>
          </w:p>
          <w:p w14:paraId="24A4CBB3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RAL</w:t>
            </w:r>
            <w:r w:rsidRPr="004121A6">
              <w:t xml:space="preserve"> </w:t>
            </w:r>
          </w:p>
          <w:p w14:paraId="612762CC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Дети старше 3 лет </w:t>
            </w:r>
          </w:p>
          <w:p w14:paraId="3F0624F8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 xml:space="preserve">EFV </w:t>
            </w:r>
          </w:p>
          <w:p w14:paraId="69C51768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или </w:t>
            </w:r>
            <w:r>
              <w:rPr>
                <w:lang w:val="en-US"/>
              </w:rPr>
              <w:t>RAL</w:t>
            </w:r>
          </w:p>
        </w:tc>
        <w:tc>
          <w:tcPr>
            <w:tcW w:w="16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DE6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RAL</w:t>
            </w:r>
            <w:r w:rsidRPr="004121A6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DTG</w:t>
            </w:r>
            <w:r>
              <w:t>+</w:t>
            </w:r>
          </w:p>
          <w:p w14:paraId="66A3E54A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 </w:t>
            </w:r>
            <w:r>
              <w:rPr>
                <w:lang w:val="en-US"/>
              </w:rPr>
              <w:t>DRV</w:t>
            </w:r>
            <w:r>
              <w:t xml:space="preserve">/ </w:t>
            </w:r>
            <w:r>
              <w:rPr>
                <w:lang w:val="en-US"/>
              </w:rPr>
              <w:t>r</w:t>
            </w:r>
            <w:r>
              <w:t>+ 2</w:t>
            </w:r>
            <w:r>
              <w:rPr>
                <w:lang w:val="en-US"/>
              </w:rPr>
              <w:t>HHOT</w:t>
            </w:r>
            <w:r w:rsidRPr="004121A6">
              <w:t xml:space="preserve"> </w:t>
            </w:r>
          </w:p>
          <w:p w14:paraId="38A039D9" w14:textId="77777777" w:rsidR="00CB25B4" w:rsidRP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DRV</w:t>
            </w:r>
            <w:r w:rsidRPr="00CB25B4">
              <w:t>/</w:t>
            </w:r>
            <w:r>
              <w:rPr>
                <w:lang w:val="en-US"/>
              </w:rPr>
              <w:t>c</w:t>
            </w:r>
            <w:r w:rsidRPr="00CB25B4">
              <w:t xml:space="preserve">+ </w:t>
            </w:r>
            <w:r>
              <w:rPr>
                <w:lang w:val="en-US"/>
              </w:rPr>
              <w:t>RAL</w:t>
            </w:r>
            <w:r w:rsidRPr="00CB25B4">
              <w:t xml:space="preserve"> </w:t>
            </w:r>
            <w:r>
              <w:t>или</w:t>
            </w:r>
            <w:r w:rsidRPr="00CB25B4">
              <w:t xml:space="preserve"> </w:t>
            </w:r>
          </w:p>
          <w:p w14:paraId="75D81E3C" w14:textId="77777777" w:rsidR="00CB25B4" w:rsidRP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  <w:r w:rsidRPr="00CB25B4">
              <w:t xml:space="preserve">) ± 1-2 </w:t>
            </w:r>
            <w:r>
              <w:t>НИОТ</w:t>
            </w:r>
          </w:p>
        </w:tc>
      </w:tr>
      <w:tr w:rsidR="00CB25B4" w14:paraId="3B6536F3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E4D95" w14:textId="77777777" w:rsidR="00CB25B4" w:rsidRPr="00CB25B4" w:rsidRDefault="00CB25B4" w:rsidP="00FF409B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0A80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НИОТ+ </w:t>
            </w:r>
            <w:r>
              <w:rPr>
                <w:lang w:val="en-US"/>
              </w:rPr>
              <w:t>EFV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7AE9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2 НИОТ + </w:t>
            </w:r>
          </w:p>
          <w:p w14:paraId="01A60F25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или </w:t>
            </w:r>
            <w:r>
              <w:rPr>
                <w:lang w:val="en-US"/>
              </w:rPr>
              <w:t>LPV/r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FB164" w14:textId="77777777" w:rsidR="00CB25B4" w:rsidRDefault="00CB25B4" w:rsidP="00FF409B"/>
        </w:tc>
      </w:tr>
      <w:tr w:rsidR="00CB25B4" w14:paraId="101155B3" w14:textId="77777777" w:rsidTr="00FF409B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E39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В особых случаях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E7FB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Когда нет возможности применить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823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ABC</w:t>
            </w:r>
            <w:r>
              <w:t xml:space="preserve">, </w:t>
            </w:r>
            <w:r>
              <w:rPr>
                <w:lang w:val="en-US"/>
              </w:rPr>
              <w:t>ZDV</w:t>
            </w:r>
            <w:r>
              <w:t xml:space="preserve">, </w:t>
            </w:r>
            <w:r>
              <w:rPr>
                <w:lang w:val="en-US"/>
              </w:rPr>
              <w:t>TDF</w:t>
            </w:r>
          </w:p>
          <w:p w14:paraId="20665A52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непереносимость (тяжелые ПП)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AE72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Возможно применить двойную терапию: </w:t>
            </w:r>
            <w:r>
              <w:rPr>
                <w:lang w:val="en-US"/>
              </w:rPr>
              <w:t>DRV</w:t>
            </w:r>
            <w:r>
              <w:t>/</w:t>
            </w:r>
            <w:r>
              <w:rPr>
                <w:lang w:val="en-US"/>
              </w:rPr>
              <w:t>c</w:t>
            </w:r>
            <w:r>
              <w:t xml:space="preserve"> + 3ТС </w:t>
            </w:r>
            <w:r>
              <w:rPr>
                <w:vertAlign w:val="superscript"/>
              </w:rPr>
              <w:t>б</w:t>
            </w:r>
            <w:r>
              <w:t xml:space="preserve"> или </w:t>
            </w:r>
            <w:r>
              <w:rPr>
                <w:lang w:val="en-US"/>
              </w:rPr>
              <w:t>DTG</w:t>
            </w:r>
            <w:r>
              <w:t xml:space="preserve"> + </w:t>
            </w:r>
            <w:r>
              <w:rPr>
                <w:lang w:val="en-US"/>
              </w:rPr>
              <w:t>RPV</w:t>
            </w:r>
            <w:r>
              <w:rPr>
                <w:vertAlign w:val="superscript"/>
              </w:rPr>
              <w:t>б</w:t>
            </w:r>
          </w:p>
          <w:p w14:paraId="4F67F6CC" w14:textId="77777777" w:rsidR="00CB25B4" w:rsidRDefault="00CB25B4" w:rsidP="00FF409B">
            <w:pPr>
              <w:autoSpaceDE w:val="0"/>
              <w:autoSpaceDN w:val="0"/>
              <w:jc w:val="both"/>
              <w:rPr>
                <w:vertAlign w:val="superscript"/>
              </w:rPr>
            </w:pPr>
            <w:r>
              <w:rPr>
                <w:lang w:val="en-US"/>
              </w:rPr>
              <w:lastRenderedPageBreak/>
              <w:t>DTG</w:t>
            </w:r>
            <w:r>
              <w:t xml:space="preserve"> + 3ТС</w:t>
            </w:r>
            <w:r w:rsidRPr="00C43B17">
              <w:rPr>
                <w:vertAlign w:val="superscript"/>
              </w:rPr>
              <w:t>в</w:t>
            </w:r>
          </w:p>
          <w:p w14:paraId="6273D077" w14:textId="77777777" w:rsidR="00CB25B4" w:rsidRPr="00E25A4D" w:rsidRDefault="00CB25B4" w:rsidP="00FF409B">
            <w:pPr>
              <w:autoSpaceDE w:val="0"/>
              <w:autoSpaceDN w:val="0"/>
              <w:jc w:val="both"/>
            </w:pPr>
            <w:r w:rsidRPr="00E25A4D">
              <w:rPr>
                <w:rFonts w:eastAsia="ArialMT"/>
                <w:color w:val="auto"/>
              </w:rPr>
              <w:t>DRV/b + DTG</w:t>
            </w:r>
            <w:r w:rsidRPr="00E25A4D">
              <w:rPr>
                <w:rFonts w:eastAsia="ArialMT"/>
                <w:color w:val="auto"/>
                <w:vertAlign w:val="superscript"/>
              </w:rPr>
              <w:t>г</w:t>
            </w:r>
          </w:p>
        </w:tc>
      </w:tr>
    </w:tbl>
    <w:p w14:paraId="59D8EE22" w14:textId="07E4DE88" w:rsidR="00CB25B4" w:rsidRDefault="00CB25B4"/>
    <w:p w14:paraId="2DA62C0C" w14:textId="77777777" w:rsidR="00CB25B4" w:rsidRDefault="00CB25B4" w:rsidP="00CB25B4">
      <w:pPr>
        <w:autoSpaceDE w:val="0"/>
        <w:autoSpaceDN w:val="0"/>
        <w:ind w:firstLine="397"/>
        <w:jc w:val="both"/>
      </w:pPr>
      <w:r>
        <w:t>а) Этравирин рекомендуется детям с 2 лет и массой тела 10 кг и более.</w:t>
      </w:r>
    </w:p>
    <w:p w14:paraId="5AF4A019" w14:textId="77777777" w:rsidR="00CB25B4" w:rsidRDefault="00CB25B4" w:rsidP="00CB25B4">
      <w:pPr>
        <w:autoSpaceDE w:val="0"/>
        <w:autoSpaceDN w:val="0"/>
        <w:ind w:firstLine="397"/>
        <w:jc w:val="both"/>
      </w:pPr>
      <w:r>
        <w:t>б) Европейское клиническое общества СПИДа (</w:t>
      </w:r>
      <w:r>
        <w:rPr>
          <w:lang w:val="en-US"/>
        </w:rPr>
        <w:t>EACS</w:t>
      </w:r>
      <w:r>
        <w:t xml:space="preserve">) в </w:t>
      </w:r>
      <w:r>
        <w:rPr>
          <w:lang w:val="en-US"/>
        </w:rPr>
        <w:t>EACS</w:t>
      </w:r>
      <w:r w:rsidRPr="004121A6">
        <w:t xml:space="preserve"> </w:t>
      </w:r>
      <w:r>
        <w:rPr>
          <w:lang w:val="en-US"/>
        </w:rPr>
        <w:t>Guidelines</w:t>
      </w:r>
      <w:r>
        <w:t xml:space="preserve"> 11,0):</w:t>
      </w:r>
    </w:p>
    <w:p w14:paraId="75AED3D1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Руководство </w:t>
      </w:r>
      <w:r>
        <w:rPr>
          <w:lang w:val="en-US"/>
        </w:rPr>
        <w:t>EACS</w:t>
      </w:r>
      <w:r>
        <w:t xml:space="preserve"> 11,0 допускает применение ряда двойных режимов у опытных пациентов, но при жестком соблюдении ряда принципов и условий и при наличии четких показаний. Главный из принципов - вирусная нагрузка менее 50 копий в мл в течение 6 месяцев и более. При установленном отсутствии мутаций резистентности к ингибиторам протеазы. При отсутствии ко-инфекции вирусом гепатита В.</w:t>
      </w:r>
    </w:p>
    <w:p w14:paraId="4F00F8FA" w14:textId="77777777" w:rsidR="00CB25B4" w:rsidRPr="00CB25B4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>
        <w:t xml:space="preserve">в) Схема хорошо себя зарекомендовала в рандомизированных исследованиях у вирусологически подавленных пациентов с ВИЧ-1; </w:t>
      </w:r>
      <w:r>
        <w:rPr>
          <w:lang w:val="en-US"/>
        </w:rPr>
        <w:t>Dolutegravir</w:t>
      </w:r>
      <w:r w:rsidRPr="004121A6">
        <w:t xml:space="preserve"> </w:t>
      </w:r>
      <w:r>
        <w:rPr>
          <w:lang w:val="en-US"/>
        </w:rPr>
        <w:t>and</w:t>
      </w:r>
      <w:r w:rsidRPr="004121A6">
        <w:t xml:space="preserve"> </w:t>
      </w:r>
      <w:r>
        <w:rPr>
          <w:lang w:val="en-US"/>
        </w:rPr>
        <w:t>lamivudine</w:t>
      </w:r>
      <w:r w:rsidRPr="004121A6">
        <w:t xml:space="preserve"> </w:t>
      </w:r>
      <w:r>
        <w:rPr>
          <w:lang w:val="en-US"/>
        </w:rPr>
        <w:t>maintenance</w:t>
      </w:r>
      <w:r w:rsidRPr="004121A6">
        <w:t xml:space="preserve"> </w:t>
      </w:r>
      <w:r>
        <w:rPr>
          <w:lang w:val="en-US"/>
        </w:rPr>
        <w:t>therapy</w:t>
      </w:r>
      <w:r w:rsidRPr="004121A6">
        <w:t xml:space="preserve"> </w:t>
      </w:r>
      <w:r>
        <w:rPr>
          <w:lang w:val="en-US"/>
        </w:rPr>
        <w:t>in</w:t>
      </w:r>
      <w:r w:rsidRPr="004121A6">
        <w:t xml:space="preserve"> </w:t>
      </w:r>
      <w:r>
        <w:rPr>
          <w:lang w:val="en-US"/>
        </w:rPr>
        <w:t>HIV</w:t>
      </w:r>
      <w:r>
        <w:t xml:space="preserve">-1 </w:t>
      </w:r>
      <w:r>
        <w:rPr>
          <w:lang w:val="en-US"/>
        </w:rPr>
        <w:t>virologically</w:t>
      </w:r>
      <w:r w:rsidRPr="004121A6">
        <w:t xml:space="preserve"> </w:t>
      </w:r>
      <w:r>
        <w:rPr>
          <w:lang w:val="en-US"/>
        </w:rPr>
        <w:t>suppressed</w:t>
      </w:r>
      <w:r w:rsidRPr="004121A6">
        <w:t xml:space="preserve"> </w:t>
      </w:r>
      <w:r>
        <w:rPr>
          <w:lang w:val="en-US"/>
        </w:rPr>
        <w:t>patients</w:t>
      </w:r>
      <w:r>
        <w:t xml:space="preserve">: </w:t>
      </w:r>
      <w:r>
        <w:rPr>
          <w:lang w:val="en-US"/>
        </w:rPr>
        <w:t>results</w:t>
      </w:r>
      <w:r w:rsidRPr="004121A6">
        <w:t xml:space="preserve"> </w:t>
      </w:r>
      <w:r>
        <w:rPr>
          <w:lang w:val="en-US"/>
        </w:rPr>
        <w:t>of</w:t>
      </w:r>
      <w:r w:rsidRPr="004121A6">
        <w:t xml:space="preserve"> </w:t>
      </w:r>
      <w:r>
        <w:rPr>
          <w:lang w:val="en-US"/>
        </w:rPr>
        <w:t>the</w:t>
      </w:r>
      <w:r w:rsidRPr="004121A6">
        <w:t xml:space="preserve"> </w:t>
      </w:r>
      <w:r>
        <w:rPr>
          <w:lang w:val="en-US"/>
        </w:rPr>
        <w:t>ANRS</w:t>
      </w:r>
      <w:r>
        <w:t xml:space="preserve"> 167 </w:t>
      </w:r>
      <w:r>
        <w:rPr>
          <w:lang w:val="en-US"/>
        </w:rPr>
        <w:t>trial</w:t>
      </w:r>
      <w:r>
        <w:t xml:space="preserve"> (</w:t>
      </w:r>
      <w:r>
        <w:rPr>
          <w:lang w:val="en-US"/>
        </w:rPr>
        <w:t>LAMIDOL</w:t>
      </w:r>
      <w:r>
        <w:t xml:space="preserve">) </w:t>
      </w:r>
      <w:r>
        <w:rPr>
          <w:lang w:val="en-US"/>
        </w:rPr>
        <w:t>The</w:t>
      </w:r>
      <w:r w:rsidRPr="004121A6">
        <w:t xml:space="preserve"> </w:t>
      </w:r>
      <w:r>
        <w:rPr>
          <w:lang w:val="en-US"/>
        </w:rPr>
        <w:t>Author</w:t>
      </w:r>
      <w:r>
        <w:t>(</w:t>
      </w:r>
      <w:r>
        <w:rPr>
          <w:lang w:val="en-US"/>
        </w:rPr>
        <w:t>s</w:t>
      </w:r>
      <w:r>
        <w:t xml:space="preserve">) 2018. </w:t>
      </w:r>
      <w:r>
        <w:rPr>
          <w:lang w:val="en-US"/>
        </w:rPr>
        <w:t>Published by Oxford University Press on behalf of the British Society for Antimicrobial Chemotherapy. All rights reserved. For</w:t>
      </w:r>
      <w:r w:rsidRPr="00CB25B4">
        <w:rPr>
          <w:lang w:val="en-US"/>
        </w:rPr>
        <w:t xml:space="preserve"> </w:t>
      </w:r>
      <w:r>
        <w:rPr>
          <w:lang w:val="en-US"/>
        </w:rPr>
        <w:t>permissions</w:t>
      </w:r>
      <w:r w:rsidRPr="00CB25B4">
        <w:rPr>
          <w:lang w:val="en-US"/>
        </w:rPr>
        <w:t xml:space="preserve">, </w:t>
      </w:r>
      <w:r>
        <w:rPr>
          <w:lang w:val="en-US"/>
        </w:rPr>
        <w:t>please</w:t>
      </w:r>
      <w:r w:rsidRPr="00CB25B4">
        <w:rPr>
          <w:lang w:val="en-US"/>
        </w:rPr>
        <w:t xml:space="preserve"> </w:t>
      </w:r>
      <w:r>
        <w:rPr>
          <w:lang w:val="en-US"/>
        </w:rPr>
        <w:t>email</w:t>
      </w:r>
      <w:r w:rsidRPr="00CB25B4">
        <w:rPr>
          <w:lang w:val="en-US"/>
        </w:rPr>
        <w:t xml:space="preserve">: </w:t>
      </w:r>
      <w:hyperlink r:id="rId12" w:history="1">
        <w:r w:rsidRPr="00CF3B2B">
          <w:rPr>
            <w:rStyle w:val="a3"/>
            <w:lang w:val="en-US"/>
          </w:rPr>
          <w:t>journals</w:t>
        </w:r>
        <w:r w:rsidRPr="00CB25B4">
          <w:rPr>
            <w:rStyle w:val="a3"/>
            <w:lang w:val="en-US"/>
          </w:rPr>
          <w:t>.</w:t>
        </w:r>
        <w:r w:rsidRPr="00CF3B2B">
          <w:rPr>
            <w:rStyle w:val="a3"/>
            <w:lang w:val="en-US"/>
          </w:rPr>
          <w:t>permissions</w:t>
        </w:r>
        <w:r w:rsidRPr="00CB25B4">
          <w:rPr>
            <w:rStyle w:val="a3"/>
            <w:lang w:val="en-US"/>
          </w:rPr>
          <w:t>@</w:t>
        </w:r>
        <w:r w:rsidRPr="00CF3B2B">
          <w:rPr>
            <w:rStyle w:val="a3"/>
            <w:lang w:val="en-US"/>
          </w:rPr>
          <w:t>oup</w:t>
        </w:r>
        <w:r w:rsidRPr="00CB25B4">
          <w:rPr>
            <w:rStyle w:val="a3"/>
            <w:lang w:val="en-US"/>
          </w:rPr>
          <w:t>.</w:t>
        </w:r>
        <w:r w:rsidRPr="00CF3B2B">
          <w:rPr>
            <w:rStyle w:val="a3"/>
            <w:lang w:val="en-US"/>
          </w:rPr>
          <w:t>com</w:t>
        </w:r>
      </w:hyperlink>
      <w:r w:rsidRPr="00CB25B4">
        <w:rPr>
          <w:lang w:val="en-US"/>
        </w:rPr>
        <w:t>.</w:t>
      </w:r>
    </w:p>
    <w:p w14:paraId="735C78FE" w14:textId="77777777" w:rsidR="00CB25B4" w:rsidRPr="00E25A4D" w:rsidRDefault="00CB25B4" w:rsidP="00CB25B4">
      <w:pPr>
        <w:autoSpaceDE w:val="0"/>
        <w:autoSpaceDN w:val="0"/>
        <w:adjustRightInd w:val="0"/>
      </w:pPr>
      <w:r>
        <w:t xml:space="preserve">г) </w:t>
      </w:r>
      <w:r w:rsidRPr="00E25A4D">
        <w:t>следует назначать только тем людям, которым не подходят другие</w:t>
      </w:r>
      <w:r>
        <w:t xml:space="preserve"> </w:t>
      </w:r>
      <w:r w:rsidRPr="00E25A4D">
        <w:t>комбинации терапии из-за непереносимости или резистентности к другим</w:t>
      </w:r>
      <w:r>
        <w:t xml:space="preserve"> </w:t>
      </w:r>
      <w:r w:rsidRPr="00E25A4D">
        <w:t>препаратам.</w:t>
      </w:r>
      <w:r>
        <w:t xml:space="preserve"> (</w:t>
      </w:r>
      <w:r w:rsidRPr="00E25A4D">
        <w:rPr>
          <w:rFonts w:eastAsia="ArialMT"/>
          <w:color w:val="auto"/>
        </w:rPr>
        <w:t>Рекомендации EACS 11.0 2021 г)</w:t>
      </w:r>
    </w:p>
    <w:p w14:paraId="3D9A90E0" w14:textId="77777777" w:rsidR="00CB25B4" w:rsidRPr="00E25A4D" w:rsidRDefault="00CB25B4" w:rsidP="00CB25B4">
      <w:pPr>
        <w:autoSpaceDE w:val="0"/>
        <w:autoSpaceDN w:val="0"/>
        <w:ind w:firstLine="397"/>
        <w:jc w:val="both"/>
      </w:pPr>
      <w:r w:rsidRPr="00E25A4D">
        <w:t> </w:t>
      </w:r>
    </w:p>
    <w:p w14:paraId="6DB4AAB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В связи с пожизненным приемом АРВП очень важно! подбирать препараты в схему с учетом взаимодействия с уже принимаемыми и/или возможно назначенными лекарственными средствами по сопутствующим заболеваниям (см ниже </w:t>
      </w:r>
      <w:hyperlink r:id="rId13" w:anchor="sub_id=1" w:history="1">
        <w:r>
          <w:rPr>
            <w:rStyle w:val="a3"/>
          </w:rPr>
          <w:t>Приложение № 1</w:t>
        </w:r>
      </w:hyperlink>
      <w:r>
        <w:rPr>
          <w:b/>
          <w:bCs/>
        </w:rPr>
        <w:t xml:space="preserve">, </w:t>
      </w:r>
      <w:hyperlink r:id="rId14" w:anchor="sub_id=2" w:history="1">
        <w:r>
          <w:rPr>
            <w:rStyle w:val="a3"/>
          </w:rPr>
          <w:t>2</w:t>
        </w:r>
      </w:hyperlink>
      <w:r>
        <w:rPr>
          <w:b/>
          <w:bCs/>
        </w:rPr>
        <w:t xml:space="preserve">, </w:t>
      </w:r>
      <w:hyperlink r:id="rId15" w:anchor="sub_id=3" w:history="1">
        <w:r>
          <w:rPr>
            <w:rStyle w:val="a3"/>
          </w:rPr>
          <w:t>3</w:t>
        </w:r>
      </w:hyperlink>
      <w:r>
        <w:rPr>
          <w:b/>
          <w:bCs/>
        </w:rPr>
        <w:t>).</w:t>
      </w:r>
    </w:p>
    <w:p w14:paraId="47069B1B" w14:textId="77777777" w:rsidR="00CB25B4" w:rsidRPr="00AA1810" w:rsidRDefault="00CB25B4" w:rsidP="00CB25B4">
      <w:pPr>
        <w:autoSpaceDE w:val="0"/>
        <w:autoSpaceDN w:val="0"/>
        <w:ind w:firstLine="397"/>
        <w:jc w:val="both"/>
        <w:rPr>
          <w:b/>
          <w:bCs/>
        </w:rPr>
      </w:pPr>
      <w:r>
        <w:rPr>
          <w:b/>
          <w:bCs/>
        </w:rPr>
        <w:t>3.3 Перечень основных лекарственных средств: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547"/>
        <w:gridCol w:w="2490"/>
        <w:gridCol w:w="3267"/>
        <w:gridCol w:w="1472"/>
      </w:tblGrid>
      <w:tr w:rsidR="00CB25B4" w:rsidRPr="00065B71" w14:paraId="2435D67C" w14:textId="77777777" w:rsidTr="00FF409B">
        <w:tc>
          <w:tcPr>
            <w:tcW w:w="2547" w:type="dxa"/>
          </w:tcPr>
          <w:p w14:paraId="3F7C72DA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rPr>
                <w:b/>
                <w:bCs/>
              </w:rPr>
              <w:t>Лекарственная группа</w:t>
            </w:r>
          </w:p>
        </w:tc>
        <w:tc>
          <w:tcPr>
            <w:tcW w:w="2490" w:type="dxa"/>
          </w:tcPr>
          <w:p w14:paraId="244EF1E2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rPr>
                <w:b/>
                <w:bCs/>
              </w:rPr>
              <w:t>Международное непатентованное наименование ЛС</w:t>
            </w:r>
          </w:p>
        </w:tc>
        <w:tc>
          <w:tcPr>
            <w:tcW w:w="3267" w:type="dxa"/>
          </w:tcPr>
          <w:p w14:paraId="03A23908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rPr>
                <w:b/>
                <w:bCs/>
              </w:rPr>
              <w:t>Способ применения</w:t>
            </w:r>
          </w:p>
        </w:tc>
        <w:tc>
          <w:tcPr>
            <w:tcW w:w="1472" w:type="dxa"/>
          </w:tcPr>
          <w:p w14:paraId="017297CA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rPr>
                <w:b/>
                <w:bCs/>
              </w:rPr>
              <w:t>УД</w:t>
            </w:r>
          </w:p>
        </w:tc>
      </w:tr>
      <w:tr w:rsidR="00CB25B4" w:rsidRPr="00065B71" w14:paraId="3AB46CD4" w14:textId="77777777" w:rsidTr="00FF409B">
        <w:tc>
          <w:tcPr>
            <w:tcW w:w="2547" w:type="dxa"/>
            <w:vMerge w:val="restart"/>
          </w:tcPr>
          <w:p w14:paraId="40720C12" w14:textId="77777777" w:rsidR="00CB25B4" w:rsidRPr="00065B71" w:rsidRDefault="00CB25B4" w:rsidP="00FF409B">
            <w:pPr>
              <w:autoSpaceDE w:val="0"/>
              <w:autoSpaceDN w:val="0"/>
              <w:jc w:val="both"/>
            </w:pPr>
            <w:r w:rsidRPr="00065B71">
              <w:t xml:space="preserve">Нуклеозидные ингибиторы обратной транскриптазы (НИОТ) </w:t>
            </w:r>
          </w:p>
          <w:p w14:paraId="7245D648" w14:textId="77777777" w:rsidR="00CB25B4" w:rsidRPr="00065B71" w:rsidRDefault="00CB25B4" w:rsidP="00FF409B"/>
        </w:tc>
        <w:tc>
          <w:tcPr>
            <w:tcW w:w="2490" w:type="dxa"/>
          </w:tcPr>
          <w:p w14:paraId="7C3A721A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Абакавир</w:t>
            </w:r>
          </w:p>
        </w:tc>
        <w:tc>
          <w:tcPr>
            <w:tcW w:w="3267" w:type="dxa"/>
          </w:tcPr>
          <w:p w14:paraId="693849A7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2F6E6F66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4B548633" w14:textId="77777777" w:rsidTr="00FF409B">
        <w:tc>
          <w:tcPr>
            <w:tcW w:w="2547" w:type="dxa"/>
            <w:vMerge/>
          </w:tcPr>
          <w:p w14:paraId="36BFD383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782221E7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Зидовудин</w:t>
            </w:r>
          </w:p>
        </w:tc>
        <w:tc>
          <w:tcPr>
            <w:tcW w:w="3267" w:type="dxa"/>
          </w:tcPr>
          <w:p w14:paraId="507B888A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2E31E615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6357B32C" w14:textId="77777777" w:rsidTr="00FF409B">
        <w:tc>
          <w:tcPr>
            <w:tcW w:w="2547" w:type="dxa"/>
            <w:vMerge/>
          </w:tcPr>
          <w:p w14:paraId="04AD32D0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038318B4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Ламивудин</w:t>
            </w:r>
          </w:p>
        </w:tc>
        <w:tc>
          <w:tcPr>
            <w:tcW w:w="3267" w:type="dxa"/>
          </w:tcPr>
          <w:p w14:paraId="57575B46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4D557AE0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71657F75" w14:textId="77777777" w:rsidTr="00FF409B">
        <w:tc>
          <w:tcPr>
            <w:tcW w:w="2547" w:type="dxa"/>
            <w:vMerge/>
          </w:tcPr>
          <w:p w14:paraId="368189FC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22974AB6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Тенофовир</w:t>
            </w:r>
          </w:p>
        </w:tc>
        <w:tc>
          <w:tcPr>
            <w:tcW w:w="3267" w:type="dxa"/>
          </w:tcPr>
          <w:p w14:paraId="2119EA82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7A462E27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0C4ED4C7" w14:textId="77777777" w:rsidTr="00FF409B">
        <w:tc>
          <w:tcPr>
            <w:tcW w:w="2547" w:type="dxa"/>
            <w:vMerge w:val="restart"/>
          </w:tcPr>
          <w:p w14:paraId="5DD79DEB" w14:textId="77777777" w:rsidR="00CB25B4" w:rsidRPr="00065B71" w:rsidRDefault="00CB25B4" w:rsidP="00FF409B">
            <w:r w:rsidRPr="00065B71">
              <w:t>Ненуклеозидные ингибиторы обратной транскриптазы (</w:t>
            </w:r>
            <w:r w:rsidRPr="00065B71">
              <w:rPr>
                <w:lang w:val="en-US"/>
              </w:rPr>
              <w:t>H</w:t>
            </w:r>
            <w:r w:rsidRPr="00065B71">
              <w:t>НИОТ)</w:t>
            </w:r>
          </w:p>
        </w:tc>
        <w:tc>
          <w:tcPr>
            <w:tcW w:w="2490" w:type="dxa"/>
          </w:tcPr>
          <w:p w14:paraId="33D2284C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Эфавиренз</w:t>
            </w:r>
          </w:p>
        </w:tc>
        <w:tc>
          <w:tcPr>
            <w:tcW w:w="3267" w:type="dxa"/>
          </w:tcPr>
          <w:p w14:paraId="2060C2FA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3B24C2B8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56499260" w14:textId="77777777" w:rsidTr="00FF409B">
        <w:tc>
          <w:tcPr>
            <w:tcW w:w="2547" w:type="dxa"/>
            <w:vMerge/>
          </w:tcPr>
          <w:p w14:paraId="47459828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53EB0368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Этравирин</w:t>
            </w:r>
          </w:p>
        </w:tc>
        <w:tc>
          <w:tcPr>
            <w:tcW w:w="3267" w:type="dxa"/>
          </w:tcPr>
          <w:p w14:paraId="79EE948E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50C5FB61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В</w:t>
            </w:r>
          </w:p>
        </w:tc>
      </w:tr>
      <w:tr w:rsidR="00CB25B4" w:rsidRPr="00065B71" w14:paraId="45EFF89C" w14:textId="77777777" w:rsidTr="00FF409B">
        <w:tc>
          <w:tcPr>
            <w:tcW w:w="2547" w:type="dxa"/>
            <w:vMerge/>
          </w:tcPr>
          <w:p w14:paraId="5F815A6B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0076AA25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Рилпивирин</w:t>
            </w:r>
          </w:p>
        </w:tc>
        <w:tc>
          <w:tcPr>
            <w:tcW w:w="3267" w:type="dxa"/>
          </w:tcPr>
          <w:p w14:paraId="6369F6CD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732DFA80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В</w:t>
            </w:r>
          </w:p>
        </w:tc>
      </w:tr>
      <w:tr w:rsidR="00CB25B4" w:rsidRPr="00065B71" w14:paraId="06E848FE" w14:textId="77777777" w:rsidTr="00FF409B">
        <w:tc>
          <w:tcPr>
            <w:tcW w:w="2547" w:type="dxa"/>
            <w:vMerge w:val="restart"/>
          </w:tcPr>
          <w:p w14:paraId="2221591B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Ингибиторы протеазы (ИП)</w:t>
            </w:r>
          </w:p>
        </w:tc>
        <w:tc>
          <w:tcPr>
            <w:tcW w:w="2490" w:type="dxa"/>
          </w:tcPr>
          <w:p w14:paraId="746431E1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Лопинавир/ритонавир</w:t>
            </w:r>
          </w:p>
        </w:tc>
        <w:tc>
          <w:tcPr>
            <w:tcW w:w="3267" w:type="dxa"/>
          </w:tcPr>
          <w:p w14:paraId="42DA731C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517EC214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А</w:t>
            </w:r>
          </w:p>
        </w:tc>
      </w:tr>
      <w:tr w:rsidR="00CB25B4" w:rsidRPr="00065B71" w14:paraId="08E570A3" w14:textId="77777777" w:rsidTr="00FF409B">
        <w:tc>
          <w:tcPr>
            <w:tcW w:w="2547" w:type="dxa"/>
            <w:vMerge/>
          </w:tcPr>
          <w:p w14:paraId="1844F5F1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289BE4D6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Дарунавир</w:t>
            </w:r>
          </w:p>
        </w:tc>
        <w:tc>
          <w:tcPr>
            <w:tcW w:w="3267" w:type="dxa"/>
          </w:tcPr>
          <w:p w14:paraId="7FA6A7C0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377E71ED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В</w:t>
            </w:r>
          </w:p>
        </w:tc>
      </w:tr>
      <w:tr w:rsidR="00CB25B4" w:rsidRPr="00065B71" w14:paraId="31C41215" w14:textId="77777777" w:rsidTr="00FF409B">
        <w:tc>
          <w:tcPr>
            <w:tcW w:w="2547" w:type="dxa"/>
            <w:vMerge w:val="restart"/>
          </w:tcPr>
          <w:p w14:paraId="651EC107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Ингибиторы интегразы (ИИ)</w:t>
            </w:r>
          </w:p>
        </w:tc>
        <w:tc>
          <w:tcPr>
            <w:tcW w:w="2490" w:type="dxa"/>
          </w:tcPr>
          <w:p w14:paraId="67E02300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Ралтегравир</w:t>
            </w:r>
          </w:p>
        </w:tc>
        <w:tc>
          <w:tcPr>
            <w:tcW w:w="3267" w:type="dxa"/>
          </w:tcPr>
          <w:p w14:paraId="1CABA1B3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7F671CAD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В</w:t>
            </w:r>
          </w:p>
        </w:tc>
      </w:tr>
      <w:tr w:rsidR="00CB25B4" w:rsidRPr="00065B71" w14:paraId="063E127C" w14:textId="77777777" w:rsidTr="00FF409B">
        <w:tc>
          <w:tcPr>
            <w:tcW w:w="2547" w:type="dxa"/>
            <w:vMerge/>
          </w:tcPr>
          <w:p w14:paraId="49F68592" w14:textId="77777777" w:rsidR="00CB25B4" w:rsidRPr="00065B71" w:rsidRDefault="00CB25B4" w:rsidP="00FF409B">
            <w:pPr>
              <w:rPr>
                <w:lang w:val="en-US"/>
              </w:rPr>
            </w:pPr>
          </w:p>
        </w:tc>
        <w:tc>
          <w:tcPr>
            <w:tcW w:w="2490" w:type="dxa"/>
          </w:tcPr>
          <w:p w14:paraId="116F18FE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Долутегравир</w:t>
            </w:r>
          </w:p>
        </w:tc>
        <w:tc>
          <w:tcPr>
            <w:tcW w:w="3267" w:type="dxa"/>
          </w:tcPr>
          <w:p w14:paraId="6E1E91C7" w14:textId="77777777" w:rsidR="00CB25B4" w:rsidRPr="00065B71" w:rsidRDefault="00CB25B4" w:rsidP="00FF409B">
            <w:pPr>
              <w:rPr>
                <w:lang w:val="en-US"/>
              </w:rPr>
            </w:pPr>
            <w:r w:rsidRPr="00065B71">
              <w:t>Энтеральный, через рот</w:t>
            </w:r>
          </w:p>
        </w:tc>
        <w:tc>
          <w:tcPr>
            <w:tcW w:w="1472" w:type="dxa"/>
          </w:tcPr>
          <w:p w14:paraId="25CB6067" w14:textId="77777777" w:rsidR="00CB25B4" w:rsidRPr="00065B71" w:rsidRDefault="00CB25B4" w:rsidP="00FF409B">
            <w:pPr>
              <w:jc w:val="center"/>
              <w:rPr>
                <w:lang w:val="en-US"/>
              </w:rPr>
            </w:pPr>
            <w:r w:rsidRPr="00065B71">
              <w:t>В</w:t>
            </w:r>
          </w:p>
        </w:tc>
      </w:tr>
    </w:tbl>
    <w:p w14:paraId="7239C778" w14:textId="5B8C3F79" w:rsidR="00CB25B4" w:rsidRDefault="00CB25B4"/>
    <w:p w14:paraId="7AAE1105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Перечень дополнительных лекарственных средств: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3556"/>
        <w:gridCol w:w="2735"/>
        <w:gridCol w:w="1244"/>
      </w:tblGrid>
      <w:tr w:rsidR="00CB25B4" w14:paraId="32ED1296" w14:textId="77777777" w:rsidTr="00FF409B"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2CF4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Лекарственная группа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77A4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Международное непатентованное наименование ЛС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90B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Способ применения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8B6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УД</w:t>
            </w:r>
          </w:p>
        </w:tc>
      </w:tr>
      <w:tr w:rsidR="00CB25B4" w14:paraId="50C1154B" w14:textId="77777777" w:rsidTr="00FF409B">
        <w:tc>
          <w:tcPr>
            <w:tcW w:w="1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DD5B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Антибактериальное средство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D63C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Триметоприм/сульфаметоксазол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7E09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Энтеральный, через рот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E8A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А</w:t>
            </w:r>
          </w:p>
        </w:tc>
      </w:tr>
      <w:tr w:rsidR="00CB25B4" w14:paraId="769CE905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ACFEB" w14:textId="77777777" w:rsidR="00CB25B4" w:rsidRDefault="00CB25B4" w:rsidP="00FF409B"/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1801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Изониазид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A99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Энтеральный, через рот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EDC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А</w:t>
            </w:r>
          </w:p>
        </w:tc>
      </w:tr>
      <w:tr w:rsidR="00CB25B4" w14:paraId="628B067F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45D39" w14:textId="77777777" w:rsidR="00CB25B4" w:rsidRDefault="00CB25B4" w:rsidP="00FF409B"/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5003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Азитромицин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6A1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Энтеральный, через рот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D15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А</w:t>
            </w:r>
          </w:p>
        </w:tc>
      </w:tr>
      <w:tr w:rsidR="00CB25B4" w14:paraId="30772166" w14:textId="77777777" w:rsidTr="00FF409B"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1FF0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Противогрибковое средство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FFF2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Флуконазол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C4DF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Энтеральный, через рот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96A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А</w:t>
            </w:r>
          </w:p>
        </w:tc>
      </w:tr>
    </w:tbl>
    <w:p w14:paraId="2E6BDA9A" w14:textId="038267FC" w:rsidR="00CB25B4" w:rsidRDefault="00CB25B4"/>
    <w:p w14:paraId="5C779AF6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3.4 Хирургическое вмешательство:</w:t>
      </w:r>
      <w:r>
        <w:t xml:space="preserve"> нет.</w:t>
      </w:r>
    </w:p>
    <w:p w14:paraId="7380A83B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3.5 Дальнейшее ведение: </w:t>
      </w:r>
    </w:p>
    <w:p w14:paraId="29C2C99C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Профилактические мероприятия: </w:t>
      </w:r>
    </w:p>
    <w:p w14:paraId="30BD27FC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lastRenderedPageBreak/>
        <w:t>Первичная профилактика:</w:t>
      </w:r>
    </w:p>
    <w:p w14:paraId="63B3BEDE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На уровне ПМСП, акушерско-гинекологической службы, медицинских учреждений:</w:t>
      </w:r>
    </w:p>
    <w:p w14:paraId="01AE4011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Назначение профилактической </w:t>
      </w:r>
      <w:r w:rsidRPr="00F03760">
        <w:t>постконтактной профилактики (далее ПКП)</w:t>
      </w:r>
      <w:r>
        <w:t xml:space="preserve"> при аварийной ситуации проводится в первые 4 часа, не позже чем 72 часа врачом - инфекционистом организации здравоохранения, осуществляющей деятельность в сфере профилактики ВИЧ-инфекции. При аварийных ситуациях прием антиретровирусных препаратов курсом 4 недели.</w:t>
      </w:r>
    </w:p>
    <w:p w14:paraId="14DC717E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Предпочтительные схемы ПКП для детей младше 10 лет: </w:t>
      </w:r>
    </w:p>
    <w:p w14:paraId="67FAB3C8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AZT</w:t>
      </w:r>
      <w:r>
        <w:t>+3</w:t>
      </w:r>
      <w:r>
        <w:rPr>
          <w:lang w:val="en-US"/>
        </w:rPr>
        <w:t>TC</w:t>
      </w:r>
      <w:r>
        <w:t>+</w:t>
      </w:r>
      <w:r w:rsidRPr="00E4429B">
        <w:t xml:space="preserve"> </w:t>
      </w:r>
      <w:r>
        <w:rPr>
          <w:lang w:val="en-US"/>
        </w:rPr>
        <w:t>DTG</w:t>
      </w:r>
      <w:r w:rsidRPr="00E4429B">
        <w:rPr>
          <w:vertAlign w:val="superscript"/>
        </w:rPr>
        <w:t>*</w:t>
      </w:r>
      <w:r>
        <w:t xml:space="preserve"> (*</w:t>
      </w:r>
      <w:r w:rsidRPr="00996443">
        <w:rPr>
          <w:color w:val="58595B"/>
          <w:spacing w:val="1"/>
          <w:sz w:val="14"/>
        </w:rPr>
        <w:t xml:space="preserve"> </w:t>
      </w:r>
      <w:r w:rsidRPr="00996443">
        <w:t>Это относится к детям, для которых одобренная дозировка DTG доступна</w:t>
      </w:r>
      <w:r>
        <w:t>).</w:t>
      </w:r>
    </w:p>
    <w:p w14:paraId="17CFFBAA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Альтернативные схемы ПКП: </w:t>
      </w:r>
    </w:p>
    <w:p w14:paraId="20F673D7" w14:textId="66EA048B" w:rsidR="00CB25B4" w:rsidRDefault="00CB25B4" w:rsidP="00CB25B4">
      <w:pPr>
        <w:autoSpaceDE w:val="0"/>
        <w:autoSpaceDN w:val="0"/>
        <w:ind w:firstLine="397"/>
        <w:jc w:val="both"/>
      </w:pPr>
      <w:r>
        <w:t xml:space="preserve">АВС+3ТС или </w:t>
      </w:r>
      <w:r>
        <w:rPr>
          <w:lang w:val="en-US"/>
        </w:rPr>
        <w:t>TDF</w:t>
      </w:r>
      <w:r>
        <w:t>+3</w:t>
      </w:r>
      <w:r>
        <w:rPr>
          <w:lang w:val="en-US"/>
        </w:rPr>
        <w:t>TC</w:t>
      </w:r>
      <w:r>
        <w:t xml:space="preserve"> (или </w:t>
      </w:r>
      <w:r>
        <w:rPr>
          <w:lang w:val="en-US"/>
        </w:rPr>
        <w:t>FTC</w:t>
      </w:r>
      <w:r>
        <w:t xml:space="preserve">) + </w:t>
      </w: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 w:rsidR="00435E91">
        <w:t xml:space="preserve"> или </w:t>
      </w:r>
      <w:r>
        <w:rPr>
          <w:lang w:val="en-US"/>
        </w:rPr>
        <w:t>RAL</w:t>
      </w:r>
      <w:r>
        <w:t xml:space="preserve"> или </w:t>
      </w:r>
      <w:r>
        <w:rPr>
          <w:lang w:val="en-US"/>
        </w:rPr>
        <w:t>DRV</w:t>
      </w:r>
      <w:r>
        <w:t xml:space="preserve"> или </w:t>
      </w:r>
      <w:r>
        <w:rPr>
          <w:lang w:val="en-US"/>
        </w:rPr>
        <w:t>ATV</w:t>
      </w:r>
      <w:r w:rsidRPr="00E4429B">
        <w:t>/</w:t>
      </w:r>
      <w:r>
        <w:rPr>
          <w:lang w:val="en-US"/>
        </w:rPr>
        <w:t>r</w:t>
      </w:r>
      <w:r>
        <w:t>.</w:t>
      </w:r>
    </w:p>
    <w:p w14:paraId="29C6B2BC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Предпочтительные схемы </w:t>
      </w:r>
      <w:r>
        <w:rPr>
          <w:lang w:val="en-US"/>
        </w:rPr>
        <w:t>APT</w:t>
      </w:r>
      <w:r>
        <w:t xml:space="preserve"> для детей старше 10 лет: </w:t>
      </w:r>
    </w:p>
    <w:p w14:paraId="46C38F8B" w14:textId="77777777" w:rsidR="00CB25B4" w:rsidRPr="00E4429B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TDF</w:t>
      </w:r>
      <w:r w:rsidRPr="00E4429B">
        <w:t>+3</w:t>
      </w:r>
      <w:r>
        <w:rPr>
          <w:lang w:val="en-US"/>
        </w:rPr>
        <w:t>TC</w:t>
      </w:r>
      <w:r w:rsidRPr="00E4429B">
        <w:t xml:space="preserve"> (</w:t>
      </w:r>
      <w:r>
        <w:t>или</w:t>
      </w:r>
      <w:r w:rsidRPr="00E4429B">
        <w:t xml:space="preserve"> </w:t>
      </w:r>
      <w:r>
        <w:rPr>
          <w:lang w:val="en-US"/>
        </w:rPr>
        <w:t>FTC</w:t>
      </w:r>
      <w:r w:rsidRPr="00E4429B">
        <w:t xml:space="preserve">) + </w:t>
      </w:r>
      <w:r>
        <w:rPr>
          <w:lang w:val="en-US"/>
        </w:rPr>
        <w:t>DTG</w:t>
      </w:r>
      <w:r w:rsidRPr="00E4429B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t>(*</w:t>
      </w:r>
      <w:r w:rsidRPr="00996443">
        <w:rPr>
          <w:color w:val="58595B"/>
          <w:spacing w:val="1"/>
          <w:sz w:val="14"/>
        </w:rPr>
        <w:t xml:space="preserve"> </w:t>
      </w:r>
      <w:r w:rsidRPr="00996443">
        <w:t>Это относится к детям, для которых одобренная дозировка DTG доступна</w:t>
      </w:r>
      <w:r>
        <w:t>)</w:t>
      </w:r>
      <w:r w:rsidRPr="00E4429B">
        <w:t>.</w:t>
      </w:r>
    </w:p>
    <w:p w14:paraId="576698A4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Альтернативные схемы ПКП: </w:t>
      </w:r>
    </w:p>
    <w:p w14:paraId="15FAC0EB" w14:textId="5B2C5281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TDF</w:t>
      </w:r>
      <w:r>
        <w:t>+3</w:t>
      </w:r>
      <w:r>
        <w:rPr>
          <w:lang w:val="en-US"/>
        </w:rPr>
        <w:t>TC</w:t>
      </w:r>
      <w:r>
        <w:t xml:space="preserve"> (или </w:t>
      </w:r>
      <w:r>
        <w:rPr>
          <w:lang w:val="en-US"/>
        </w:rPr>
        <w:t>FTC</w:t>
      </w:r>
      <w:r>
        <w:t xml:space="preserve">) + </w:t>
      </w:r>
      <w:r>
        <w:rPr>
          <w:lang w:val="en-US"/>
        </w:rPr>
        <w:t>LPV</w:t>
      </w:r>
      <w:r w:rsidRPr="00E4429B">
        <w:t>/</w:t>
      </w:r>
      <w:r>
        <w:rPr>
          <w:lang w:val="en-US"/>
        </w:rPr>
        <w:t>r</w:t>
      </w:r>
      <w:r w:rsidR="00435E91">
        <w:t xml:space="preserve"> </w:t>
      </w:r>
      <w:r>
        <w:t>или</w:t>
      </w:r>
      <w:r w:rsidRPr="00E4429B">
        <w:t xml:space="preserve"> </w:t>
      </w:r>
      <w:r>
        <w:rPr>
          <w:lang w:val="en-US"/>
        </w:rPr>
        <w:t>ATV</w:t>
      </w:r>
      <w:r w:rsidRPr="00E4429B">
        <w:t>/</w:t>
      </w:r>
      <w:r>
        <w:rPr>
          <w:lang w:val="en-US"/>
        </w:rPr>
        <w:t>r</w:t>
      </w:r>
      <w:r w:rsidRPr="00E4429B">
        <w:t xml:space="preserve"> </w:t>
      </w:r>
      <w:r>
        <w:t xml:space="preserve">или </w:t>
      </w:r>
      <w:r>
        <w:rPr>
          <w:lang w:val="en-US"/>
        </w:rPr>
        <w:t>RAL</w:t>
      </w:r>
      <w:r>
        <w:t xml:space="preserve"> или </w:t>
      </w:r>
      <w:r>
        <w:rPr>
          <w:lang w:val="en-US"/>
        </w:rPr>
        <w:t>DRV</w:t>
      </w:r>
      <w:r>
        <w:t>/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EFV</w:t>
      </w:r>
      <w:r>
        <w:t>.</w:t>
      </w:r>
    </w:p>
    <w:p w14:paraId="4FC7BC14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Предпочтительные схемы </w:t>
      </w:r>
      <w:r>
        <w:rPr>
          <w:lang w:val="en-US"/>
        </w:rPr>
        <w:t>APT</w:t>
      </w:r>
      <w:r>
        <w:t xml:space="preserve"> для детей старше 12 лет: </w:t>
      </w:r>
    </w:p>
    <w:p w14:paraId="3C873AC2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>
        <w:rPr>
          <w:lang w:val="en-US"/>
        </w:rPr>
        <w:t>TDF+3TC (</w:t>
      </w:r>
      <w:r>
        <w:t>или</w:t>
      </w:r>
      <w:r>
        <w:rPr>
          <w:lang w:val="en-US"/>
        </w:rPr>
        <w:t xml:space="preserve"> FTC) + DTG.</w:t>
      </w:r>
    </w:p>
    <w:p w14:paraId="2AE6091B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Альтернативные схемы ПКП: </w:t>
      </w:r>
    </w:p>
    <w:p w14:paraId="55F82879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TDF</w:t>
      </w:r>
      <w:r>
        <w:t>+3</w:t>
      </w:r>
      <w:r>
        <w:rPr>
          <w:lang w:val="en-US"/>
        </w:rPr>
        <w:t>TC</w:t>
      </w:r>
      <w:r>
        <w:t xml:space="preserve"> (или </w:t>
      </w:r>
      <w:r>
        <w:rPr>
          <w:lang w:val="en-US"/>
        </w:rPr>
        <w:t>FTC</w:t>
      </w:r>
      <w:r>
        <w:t xml:space="preserve">) + </w:t>
      </w:r>
      <w:r>
        <w:rPr>
          <w:lang w:val="en-US"/>
        </w:rPr>
        <w:t>RAL</w:t>
      </w:r>
      <w:r>
        <w:t xml:space="preserve"> или </w:t>
      </w:r>
      <w:r>
        <w:rPr>
          <w:lang w:val="en-US"/>
        </w:rPr>
        <w:t>DRV</w:t>
      </w:r>
      <w:r>
        <w:t>/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EFV</w:t>
      </w:r>
      <w:r>
        <w:t>.</w:t>
      </w:r>
    </w:p>
    <w:p w14:paraId="2C3597BA" w14:textId="77777777" w:rsidR="00CB25B4" w:rsidRDefault="00CB25B4" w:rsidP="00CB25B4">
      <w:pPr>
        <w:autoSpaceDE w:val="0"/>
        <w:autoSpaceDN w:val="0"/>
        <w:jc w:val="both"/>
      </w:pPr>
    </w:p>
    <w:p w14:paraId="7484AAF6" w14:textId="5E5F401E" w:rsidR="00CB25B4" w:rsidRDefault="00CB25B4" w:rsidP="00CB25B4">
      <w:pPr>
        <w:autoSpaceDE w:val="0"/>
        <w:autoSpaceDN w:val="0"/>
        <w:ind w:firstLine="397"/>
        <w:jc w:val="both"/>
      </w:pPr>
      <w:r w:rsidRPr="00435E91">
        <w:rPr>
          <w:b/>
        </w:rPr>
        <w:t>Профилактическое антиретровирусное лечение показано всем детям</w:t>
      </w:r>
      <w:r>
        <w:t>, рожденным ВИЧ-инфицированными женщинами с первых 6 часов и не позднее 72 часов;</w:t>
      </w:r>
    </w:p>
    <w:p w14:paraId="209F8486" w14:textId="46529B4A" w:rsidR="00CB25B4" w:rsidRDefault="00CB25B4" w:rsidP="00CB25B4">
      <w:pPr>
        <w:autoSpaceDE w:val="0"/>
        <w:autoSpaceDN w:val="0"/>
        <w:ind w:firstLine="397"/>
        <w:jc w:val="both"/>
      </w:pPr>
      <w:r>
        <w:t>Рекомендуемая схема при условии приема АРВП матерью</w:t>
      </w:r>
      <w:r w:rsidR="0079371C">
        <w:t>, неопределяемая ВН</w:t>
      </w:r>
      <w:r>
        <w:t xml:space="preserve">: </w:t>
      </w:r>
      <w:r>
        <w:rPr>
          <w:lang w:val="en-US"/>
        </w:rPr>
        <w:t>AZT</w:t>
      </w:r>
      <w:r w:rsidR="0079371C">
        <w:t xml:space="preserve"> и </w:t>
      </w:r>
      <w:r w:rsidR="0079371C">
        <w:rPr>
          <w:lang w:val="en-US"/>
        </w:rPr>
        <w:t>NVP</w:t>
      </w:r>
      <w:r w:rsidR="0079371C" w:rsidRPr="0079371C">
        <w:t>*</w:t>
      </w:r>
      <w:r w:rsidRPr="004121A6">
        <w:t xml:space="preserve"> </w:t>
      </w:r>
      <w:r>
        <w:t xml:space="preserve">(2 раза в день) в течение первых шести недель жизни (расчет дозы </w:t>
      </w:r>
      <w:r>
        <w:rPr>
          <w:lang w:val="en-US"/>
        </w:rPr>
        <w:t>AZT</w:t>
      </w:r>
      <w:r>
        <w:t xml:space="preserve"> 4 мг/кг</w:t>
      </w:r>
      <w:r w:rsidR="0079371C" w:rsidRPr="0079371C">
        <w:t xml:space="preserve"> </w:t>
      </w:r>
      <w:r w:rsidR="00435E91">
        <w:t xml:space="preserve">каждые 12 часов в день </w:t>
      </w:r>
      <w:r w:rsidR="0079371C">
        <w:t>и</w:t>
      </w:r>
      <w:r w:rsidR="003E3F2D">
        <w:t>ли</w:t>
      </w:r>
      <w:r w:rsidR="0079371C">
        <w:t xml:space="preserve"> </w:t>
      </w:r>
      <w:r w:rsidR="0079371C">
        <w:rPr>
          <w:lang w:val="en-US"/>
        </w:rPr>
        <w:t>NVP</w:t>
      </w:r>
      <w:r w:rsidR="00681F1D">
        <w:t>*</w:t>
      </w:r>
      <w:r w:rsidR="0079371C">
        <w:t xml:space="preserve"> 2 мг/кг</w:t>
      </w:r>
      <w:r>
        <w:t xml:space="preserve"> </w:t>
      </w:r>
      <w:r w:rsidR="00435E91">
        <w:t xml:space="preserve">1 раз в сутки </w:t>
      </w:r>
      <w:r>
        <w:t>через 6-12 часов после рождения</w:t>
      </w:r>
      <w:r w:rsidR="00FF409B">
        <w:t xml:space="preserve">; </w:t>
      </w:r>
      <w:r w:rsidR="00FF409B" w:rsidRPr="00FF409B">
        <w:rPr>
          <w:rFonts w:eastAsia="Times New Roman"/>
          <w:color w:val="auto"/>
        </w:rPr>
        <w:t xml:space="preserve">недоношенным новорожденным </w:t>
      </w:r>
      <w:r w:rsidR="00FF409B" w:rsidRPr="00FF409B">
        <w:rPr>
          <w:color w:val="auto"/>
          <w:lang w:val="en-US"/>
        </w:rPr>
        <w:t>AZT</w:t>
      </w:r>
      <w:r w:rsidR="00FF409B" w:rsidRPr="00FF409B">
        <w:rPr>
          <w:rFonts w:eastAsia="Times New Roman"/>
          <w:color w:val="auto"/>
        </w:rPr>
        <w:t xml:space="preserve"> назначают в дозе 1,5 мг/кг в/в или 2,0 мг/кг внутрь</w:t>
      </w:r>
      <w:r>
        <w:t>).</w:t>
      </w:r>
    </w:p>
    <w:p w14:paraId="22ABC48D" w14:textId="14E70F61" w:rsidR="00CB25B4" w:rsidRDefault="00CB25B4" w:rsidP="00CB25B4">
      <w:pPr>
        <w:autoSpaceDE w:val="0"/>
        <w:autoSpaceDN w:val="0"/>
        <w:ind w:firstLine="397"/>
        <w:jc w:val="both"/>
      </w:pPr>
      <w:r>
        <w:t>Новорожденным детям, у которых контакт с ВИЧ был впервые установлен во время родов или в течение послеродового периода, или матери которых не получили АРВП во время беременности,</w:t>
      </w:r>
      <w:r w:rsidR="0079371C">
        <w:t xml:space="preserve"> с определяемой ВН</w:t>
      </w:r>
      <w:r>
        <w:t xml:space="preserve"> должны продолжать профилактику в течение 12 недель. Рекомендуемая схема </w:t>
      </w:r>
      <w:r>
        <w:rPr>
          <w:lang w:val="en-US"/>
        </w:rPr>
        <w:t>AZT</w:t>
      </w:r>
      <w:r>
        <w:t xml:space="preserve"> (2 раза в день) + 3ТС (2 раза в день) </w:t>
      </w:r>
      <w:r w:rsidR="0079371C">
        <w:t xml:space="preserve">+ </w:t>
      </w:r>
      <w:r w:rsidR="0079371C">
        <w:rPr>
          <w:lang w:val="en-US"/>
        </w:rPr>
        <w:t>NVP</w:t>
      </w:r>
      <w:r w:rsidR="0079371C">
        <w:t>*</w:t>
      </w:r>
      <w:r w:rsidR="00435E91">
        <w:t xml:space="preserve"> (1 раз вдень)</w:t>
      </w:r>
      <w:r w:rsidR="0079371C">
        <w:t xml:space="preserve"> </w:t>
      </w:r>
      <w:r>
        <w:t xml:space="preserve">в течение первых 12 недель жизни (расчет дозы </w:t>
      </w:r>
      <w:r>
        <w:rPr>
          <w:lang w:val="en-US"/>
        </w:rPr>
        <w:t>AZT</w:t>
      </w:r>
      <w:r>
        <w:t xml:space="preserve"> 4 мг/кг</w:t>
      </w:r>
      <w:r w:rsidR="00435E91">
        <w:t xml:space="preserve"> и</w:t>
      </w:r>
      <w:r>
        <w:t xml:space="preserve"> ЗТС 2 мг/кг</w:t>
      </w:r>
      <w:r w:rsidR="00435E91" w:rsidRPr="00435E91">
        <w:t xml:space="preserve"> </w:t>
      </w:r>
      <w:r w:rsidR="00435E91">
        <w:t>каждые 12 часов</w:t>
      </w:r>
      <w:r w:rsidR="0079371C">
        <w:t xml:space="preserve">, </w:t>
      </w:r>
      <w:r w:rsidR="0079371C">
        <w:rPr>
          <w:lang w:val="en-US"/>
        </w:rPr>
        <w:t>NVP</w:t>
      </w:r>
      <w:r w:rsidR="0079371C">
        <w:t xml:space="preserve">* 2 мг/кг </w:t>
      </w:r>
      <w:r w:rsidR="00435E91">
        <w:t>1 раз в сутки</w:t>
      </w:r>
      <w:r>
        <w:t xml:space="preserve"> через 6-12 часов после рождения).</w:t>
      </w:r>
      <w:r w:rsidR="00435E91" w:rsidRPr="00435E91">
        <w:t xml:space="preserve"> </w:t>
      </w:r>
    </w:p>
    <w:p w14:paraId="225B9A47" w14:textId="2F3A5EED" w:rsidR="0079371C" w:rsidRDefault="0079371C" w:rsidP="00CB25B4">
      <w:pPr>
        <w:autoSpaceDE w:val="0"/>
        <w:autoSpaceDN w:val="0"/>
        <w:ind w:firstLine="397"/>
        <w:jc w:val="both"/>
      </w:pPr>
    </w:p>
    <w:p w14:paraId="6D58685C" w14:textId="6B37EBD4" w:rsidR="0079371C" w:rsidRPr="008313D7" w:rsidRDefault="0079371C" w:rsidP="00CB25B4">
      <w:pPr>
        <w:autoSpaceDE w:val="0"/>
        <w:autoSpaceDN w:val="0"/>
        <w:ind w:firstLine="397"/>
        <w:jc w:val="both"/>
        <w:rPr>
          <w:i/>
        </w:rPr>
      </w:pPr>
      <w:r>
        <w:t>*</w:t>
      </w:r>
      <w:r w:rsidRPr="008313D7">
        <w:rPr>
          <w:i/>
        </w:rPr>
        <w:t xml:space="preserve">В результате отсутствия ввоза антиретровирусного препарата </w:t>
      </w:r>
      <w:r w:rsidRPr="008313D7">
        <w:rPr>
          <w:i/>
          <w:lang w:val="en-US"/>
        </w:rPr>
        <w:t>NVP</w:t>
      </w:r>
      <w:r w:rsidRPr="008313D7">
        <w:rPr>
          <w:i/>
        </w:rPr>
        <w:t xml:space="preserve"> на территорию Республики Казахстан, профилактика передачи от матери к ребенку ВИЧ – инфекции проводится без применения </w:t>
      </w:r>
      <w:r w:rsidR="00435E91" w:rsidRPr="008313D7">
        <w:rPr>
          <w:i/>
          <w:lang w:val="en-US"/>
        </w:rPr>
        <w:t>NVP</w:t>
      </w:r>
      <w:r w:rsidRPr="008313D7">
        <w:rPr>
          <w:i/>
        </w:rPr>
        <w:t xml:space="preserve">. </w:t>
      </w:r>
      <w:r w:rsidR="00435E91" w:rsidRPr="008313D7">
        <w:rPr>
          <w:i/>
        </w:rPr>
        <w:t xml:space="preserve">Имеется возможность замены </w:t>
      </w:r>
      <w:r w:rsidR="00435E91" w:rsidRPr="008313D7">
        <w:rPr>
          <w:i/>
          <w:lang w:val="en-US"/>
        </w:rPr>
        <w:t>NVP</w:t>
      </w:r>
      <w:r w:rsidR="00435E91" w:rsidRPr="008313D7">
        <w:rPr>
          <w:i/>
        </w:rPr>
        <w:t xml:space="preserve"> на </w:t>
      </w:r>
      <w:r w:rsidR="00435E91" w:rsidRPr="008313D7">
        <w:rPr>
          <w:i/>
          <w:lang w:val="en-US"/>
        </w:rPr>
        <w:t>RAL</w:t>
      </w:r>
      <w:r w:rsidR="00435E91" w:rsidRPr="008313D7">
        <w:rPr>
          <w:i/>
        </w:rPr>
        <w:t xml:space="preserve"> п</w:t>
      </w:r>
      <w:r w:rsidRPr="008313D7">
        <w:rPr>
          <w:i/>
        </w:rPr>
        <w:t xml:space="preserve">ри доступности в стране </w:t>
      </w:r>
      <w:r w:rsidR="00435E91" w:rsidRPr="008313D7">
        <w:rPr>
          <w:i/>
        </w:rPr>
        <w:t>данного препарата.</w:t>
      </w:r>
    </w:p>
    <w:p w14:paraId="741EAEFE" w14:textId="77777777" w:rsidR="0079371C" w:rsidRDefault="0079371C" w:rsidP="00CB25B4">
      <w:pPr>
        <w:autoSpaceDE w:val="0"/>
        <w:autoSpaceDN w:val="0"/>
        <w:ind w:firstLine="397"/>
        <w:jc w:val="both"/>
      </w:pPr>
    </w:p>
    <w:p w14:paraId="32A00DB8" w14:textId="6CDB0D3F" w:rsidR="00CB25B4" w:rsidRDefault="00CB25B4" w:rsidP="00CB25B4">
      <w:pPr>
        <w:autoSpaceDE w:val="0"/>
        <w:autoSpaceDN w:val="0"/>
        <w:ind w:firstLine="397"/>
        <w:jc w:val="both"/>
      </w:pPr>
      <w:r w:rsidRPr="0079371C">
        <w:t>Ребенок, рожденный от ВИЧ-инфицированной матери, не прикладывается к груди матери, и обеспечивается с рождения смесями для искусственного вскармливания</w:t>
      </w:r>
      <w:r w:rsidR="009753CB" w:rsidRPr="009753CB">
        <w:t xml:space="preserve"> </w:t>
      </w:r>
      <w:r w:rsidR="009753CB">
        <w:t>при информированном согласии матери.</w:t>
      </w:r>
      <w:r w:rsidRPr="0079371C">
        <w:t xml:space="preserve"> Дети, рожденные от ВИЧ-инфицированных матерей, обеспечиваются бесплатно адаптированными молочными смесями в полном возрастном объеме, с момента рождения и до 12 месяцев организациями ПМСП, родовспоможения по месту жительства и родов.</w:t>
      </w:r>
    </w:p>
    <w:p w14:paraId="413B2409" w14:textId="77777777" w:rsidR="00CB25B4" w:rsidRDefault="00CB25B4" w:rsidP="00CB25B4">
      <w:pPr>
        <w:autoSpaceDE w:val="0"/>
        <w:autoSpaceDN w:val="0"/>
        <w:ind w:firstLine="397"/>
        <w:jc w:val="both"/>
      </w:pPr>
    </w:p>
    <w:p w14:paraId="430EE98D" w14:textId="77777777" w:rsidR="009753CB" w:rsidRDefault="00CB25B4" w:rsidP="009753CB">
      <w:pPr>
        <w:autoSpaceDE w:val="0"/>
        <w:autoSpaceDN w:val="0"/>
        <w:adjustRightInd w:val="0"/>
        <w:ind w:firstLine="397"/>
        <w:jc w:val="both"/>
      </w:pPr>
      <w:r w:rsidRPr="00485A0A">
        <w:rPr>
          <w:b/>
          <w:bCs/>
        </w:rPr>
        <w:t>Кормление грудью.</w:t>
      </w:r>
      <w:r>
        <w:t xml:space="preserve"> </w:t>
      </w:r>
      <w:r w:rsidRPr="00F953E5">
        <w:t>Тему кормления необходимо обсудить с беременной женщиной как можно</w:t>
      </w:r>
      <w:r>
        <w:t xml:space="preserve"> </w:t>
      </w:r>
      <w:r w:rsidRPr="00F953E5">
        <w:t>раньше во время беременности, наряду с предоставлением информации и</w:t>
      </w:r>
      <w:r>
        <w:t xml:space="preserve"> </w:t>
      </w:r>
      <w:r w:rsidRPr="00F953E5">
        <w:t>оказанием поддержки матери</w:t>
      </w:r>
      <w:r>
        <w:t>.</w:t>
      </w:r>
      <w:r w:rsidR="009753CB">
        <w:t xml:space="preserve"> </w:t>
      </w:r>
    </w:p>
    <w:p w14:paraId="53A39649" w14:textId="77777777" w:rsidR="009753CB" w:rsidRDefault="009753CB" w:rsidP="009753CB">
      <w:pPr>
        <w:autoSpaceDE w:val="0"/>
        <w:autoSpaceDN w:val="0"/>
        <w:adjustRightInd w:val="0"/>
        <w:ind w:firstLine="397"/>
        <w:jc w:val="both"/>
      </w:pPr>
      <w:r>
        <w:t>Р</w:t>
      </w:r>
      <w:r w:rsidR="00CB25B4" w:rsidRPr="00F953E5">
        <w:t>екомендуе</w:t>
      </w:r>
      <w:r w:rsidR="00844048">
        <w:t>тся</w:t>
      </w:r>
      <w:r w:rsidR="00CB25B4" w:rsidRPr="00F953E5">
        <w:t xml:space="preserve"> не кормить грудью, так как в странах с высоким уровнем дохода оптимальный способ предотвращения передачи инфекции от матери ребенку – кормить младенцев, рожденных матерями, живущими с ВИЧ, молочной смесью.</w:t>
      </w:r>
    </w:p>
    <w:p w14:paraId="226011CB" w14:textId="77777777" w:rsidR="009753CB" w:rsidRDefault="00CB25B4" w:rsidP="009753CB">
      <w:pPr>
        <w:autoSpaceDE w:val="0"/>
        <w:autoSpaceDN w:val="0"/>
        <w:adjustRightInd w:val="0"/>
        <w:ind w:firstLine="397"/>
        <w:jc w:val="both"/>
      </w:pPr>
      <w:r w:rsidRPr="00F953E5">
        <w:t xml:space="preserve">Чтобы уменьшить потенциальный физический и эмоциональный дискомфорт, связанный с нагрубанием груди, а также с риском скрытого грудного вскармливания, женщинам, живущим с ВИЧ, следует давать </w:t>
      </w:r>
      <w:r w:rsidR="009753CB" w:rsidRPr="00F953E5">
        <w:t>Каберголин</w:t>
      </w:r>
      <w:r w:rsidRPr="00F953E5">
        <w:t xml:space="preserve"> для подавления лактации после родов.</w:t>
      </w:r>
    </w:p>
    <w:p w14:paraId="1F5A771E" w14:textId="77777777" w:rsidR="009753CB" w:rsidRDefault="00CB25B4" w:rsidP="009753CB">
      <w:pPr>
        <w:autoSpaceDE w:val="0"/>
        <w:autoSpaceDN w:val="0"/>
        <w:adjustRightInd w:val="0"/>
        <w:ind w:firstLine="397"/>
        <w:jc w:val="both"/>
      </w:pPr>
      <w:r w:rsidRPr="00F953E5">
        <w:lastRenderedPageBreak/>
        <w:t>Если женщина выбирает грудное вскармливание, мы рекомендуем участие междисциплинарной команды, включающей специалиста по ВИЧ у взрослых, педиатра и акушера/гинеколога</w:t>
      </w:r>
      <w:r>
        <w:t>.</w:t>
      </w:r>
    </w:p>
    <w:p w14:paraId="1E67909C" w14:textId="77777777" w:rsidR="009753CB" w:rsidRDefault="00844048" w:rsidP="009753CB">
      <w:pPr>
        <w:autoSpaceDE w:val="0"/>
        <w:autoSpaceDN w:val="0"/>
        <w:adjustRightInd w:val="0"/>
        <w:ind w:firstLine="397"/>
        <w:jc w:val="both"/>
      </w:pPr>
      <w:r w:rsidRPr="00F953E5">
        <w:t>Р</w:t>
      </w:r>
      <w:r w:rsidR="00CB25B4" w:rsidRPr="00F953E5">
        <w:t>екомендуе</w:t>
      </w:r>
      <w:r>
        <w:t>тся</w:t>
      </w:r>
      <w:r w:rsidR="00CB25B4" w:rsidRPr="00F953E5">
        <w:t xml:space="preserve"> ежемесячное наблюдение в течение всего периода грудного вскармливания с усиленным клиническим и вирусологическим мониторингом как матери, так и ребенка. Для накопления данных клинической практики может быть проведено измерение концентрации АРВ-препаратов в молоке</w:t>
      </w:r>
      <w:r w:rsidR="009753CB">
        <w:t>.</w:t>
      </w:r>
    </w:p>
    <w:p w14:paraId="73FFFB3A" w14:textId="77777777" w:rsidR="009753CB" w:rsidRDefault="00CB25B4" w:rsidP="009753CB">
      <w:pPr>
        <w:autoSpaceDE w:val="0"/>
        <w:autoSpaceDN w:val="0"/>
        <w:adjustRightInd w:val="0"/>
        <w:ind w:firstLine="397"/>
        <w:jc w:val="both"/>
      </w:pPr>
      <w:r w:rsidRPr="00F953E5">
        <w:t xml:space="preserve">При ВН ВИЧ у матери &gt; 50 копий/мл </w:t>
      </w:r>
      <w:r w:rsidR="009753CB">
        <w:t>рекомендуется</w:t>
      </w:r>
      <w:r w:rsidRPr="00F953E5">
        <w:t xml:space="preserve"> прекратить грудное</w:t>
      </w:r>
      <w:r w:rsidRPr="00C15CEA">
        <w:t xml:space="preserve"> </w:t>
      </w:r>
      <w:r w:rsidRPr="00F953E5">
        <w:t xml:space="preserve">вскармливание, предоставляя матери </w:t>
      </w:r>
      <w:r w:rsidR="009753CB" w:rsidRPr="00F953E5">
        <w:t>Каберголин</w:t>
      </w:r>
      <w:r w:rsidRPr="00F953E5">
        <w:t xml:space="preserve"> и поддержку от</w:t>
      </w:r>
      <w:r w:rsidRPr="00C15CEA">
        <w:t xml:space="preserve"> </w:t>
      </w:r>
      <w:r w:rsidRPr="00F953E5">
        <w:t>междисциплинарной команды и специалиста по сестринскому делу</w:t>
      </w:r>
      <w:r>
        <w:t xml:space="preserve">. </w:t>
      </w:r>
      <w:r w:rsidRPr="00F953E5">
        <w:t>Необходима немедленная консультация междисциплинарной команды при</w:t>
      </w:r>
      <w:r>
        <w:t xml:space="preserve"> </w:t>
      </w:r>
      <w:r w:rsidRPr="00F953E5">
        <w:t>наличии признаков и симптомов мастита, инфекций ротовой полости или</w:t>
      </w:r>
      <w:r>
        <w:t xml:space="preserve"> </w:t>
      </w:r>
      <w:r w:rsidRPr="00F953E5">
        <w:t>кишечника у младенца</w:t>
      </w:r>
      <w:r>
        <w:t>.</w:t>
      </w:r>
    </w:p>
    <w:p w14:paraId="6E011D8C" w14:textId="77777777" w:rsidR="009753CB" w:rsidRDefault="00CB25B4" w:rsidP="009753CB">
      <w:pPr>
        <w:autoSpaceDE w:val="0"/>
        <w:autoSpaceDN w:val="0"/>
        <w:adjustRightInd w:val="0"/>
        <w:ind w:firstLine="397"/>
        <w:jc w:val="both"/>
      </w:pPr>
      <w:r w:rsidRPr="00F953E5">
        <w:t>В настоящее время нет данных, подтверждающих рекомендацию ДКП для</w:t>
      </w:r>
      <w:r>
        <w:t xml:space="preserve"> </w:t>
      </w:r>
      <w:r w:rsidRPr="00F953E5">
        <w:t>детей, находящихся на грудном вскармливании</w:t>
      </w:r>
      <w:r>
        <w:t>.</w:t>
      </w:r>
      <w:r w:rsidR="009753CB">
        <w:t xml:space="preserve"> </w:t>
      </w:r>
    </w:p>
    <w:p w14:paraId="0EE45FEF" w14:textId="29E5BFF0" w:rsidR="00CB25B4" w:rsidRPr="00F953E5" w:rsidRDefault="00CB25B4" w:rsidP="009753CB">
      <w:pPr>
        <w:autoSpaceDE w:val="0"/>
        <w:autoSpaceDN w:val="0"/>
        <w:adjustRightInd w:val="0"/>
        <w:ind w:firstLine="397"/>
        <w:jc w:val="both"/>
      </w:pPr>
      <w:r w:rsidRPr="00F953E5">
        <w:t>После прекращения грудного вскармливания ребенок должен</w:t>
      </w:r>
      <w:r>
        <w:t xml:space="preserve"> </w:t>
      </w:r>
      <w:r w:rsidRPr="00F953E5">
        <w:t>пройти обычную диагностику, которая рекомендована для детей,</w:t>
      </w:r>
      <w:r>
        <w:t xml:space="preserve"> </w:t>
      </w:r>
      <w:r w:rsidRPr="00F953E5">
        <w:t>подвергшихся риску инфицирования ВИЧ</w:t>
      </w:r>
      <w:r>
        <w:t>.</w:t>
      </w:r>
    </w:p>
    <w:p w14:paraId="6A4110AA" w14:textId="77777777" w:rsidR="00CB25B4" w:rsidRDefault="00CB25B4" w:rsidP="00CB25B4">
      <w:pPr>
        <w:autoSpaceDE w:val="0"/>
        <w:autoSpaceDN w:val="0"/>
        <w:ind w:firstLine="397"/>
        <w:jc w:val="both"/>
        <w:rPr>
          <w:b/>
          <w:bCs/>
        </w:rPr>
      </w:pPr>
    </w:p>
    <w:p w14:paraId="5D29367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Снятие с диспансерного учета </w:t>
      </w:r>
      <w:r>
        <w:t>ребенка, рожденного ВИЧ положительной женщиной, осуществляется специалистом организацией здравоохранения, осуществляющей деятельность в сфере профилактике ВИЧ-инфекции, на основании:</w:t>
      </w:r>
    </w:p>
    <w:p w14:paraId="111BD5AB" w14:textId="51E47A52" w:rsidR="00CB25B4" w:rsidRDefault="00CB25B4" w:rsidP="00CB25B4">
      <w:pPr>
        <w:autoSpaceDE w:val="0"/>
        <w:autoSpaceDN w:val="0"/>
        <w:ind w:firstLine="397"/>
        <w:jc w:val="both"/>
      </w:pPr>
      <w:r>
        <w:t>1) отрицательных результатов ПЦР ДНК в возрастах: 48 часов от рождения, 6 недель, 9 месяцев;</w:t>
      </w:r>
    </w:p>
    <w:p w14:paraId="73E0B172" w14:textId="77777777" w:rsidR="00CB25B4" w:rsidRDefault="00CB25B4" w:rsidP="00CB25B4">
      <w:pPr>
        <w:autoSpaceDE w:val="0"/>
        <w:autoSpaceDN w:val="0"/>
        <w:ind w:firstLine="397"/>
        <w:jc w:val="both"/>
      </w:pPr>
      <w:r>
        <w:t>2) отрицательного результата обследования ИФА/ИХЛА в возрасте 18 месяцев (при условии отсутствия клинических проявлений ВИЧ-инфекции и отсутствия грудного вскармливания в последние 6 месяцев).</w:t>
      </w:r>
    </w:p>
    <w:p w14:paraId="0E0468B0" w14:textId="77777777" w:rsidR="00CB25B4" w:rsidRDefault="00CB25B4" w:rsidP="00CB25B4">
      <w:pPr>
        <w:autoSpaceDE w:val="0"/>
        <w:autoSpaceDN w:val="0"/>
        <w:ind w:firstLine="397"/>
        <w:jc w:val="both"/>
      </w:pPr>
      <w:r>
        <w:t>Наличие двух положительных результатов ПЦР ДНК указывает на ВИЧ - инфицирование и ребёнок переводятся в диспансерную группу «ВИЧ положительные дети».</w:t>
      </w:r>
    </w:p>
    <w:p w14:paraId="5A30EE98" w14:textId="77777777" w:rsidR="00CB25B4" w:rsidRDefault="00CB25B4" w:rsidP="00CB25B4">
      <w:pPr>
        <w:autoSpaceDE w:val="0"/>
        <w:autoSpaceDN w:val="0"/>
        <w:ind w:firstLine="397"/>
        <w:jc w:val="both"/>
        <w:rPr>
          <w:b/>
          <w:bCs/>
        </w:rPr>
      </w:pPr>
    </w:p>
    <w:p w14:paraId="223E2213" w14:textId="3AB32C41" w:rsidR="00CB25B4" w:rsidRPr="00F53443" w:rsidRDefault="00CB25B4" w:rsidP="00CB25B4">
      <w:pPr>
        <w:autoSpaceDE w:val="0"/>
        <w:autoSpaceDN w:val="0"/>
        <w:ind w:firstLine="397"/>
        <w:jc w:val="both"/>
        <w:rPr>
          <w:b/>
          <w:bCs/>
        </w:rPr>
      </w:pPr>
      <w:r w:rsidRPr="00F53443">
        <w:rPr>
          <w:b/>
          <w:bCs/>
        </w:rPr>
        <w:t xml:space="preserve">Первичная профилактика оппортунистических инфекций: </w:t>
      </w:r>
    </w:p>
    <w:p w14:paraId="06B598DA" w14:textId="77777777" w:rsidR="00F53443" w:rsidRPr="00F53443" w:rsidRDefault="00F53443" w:rsidP="00CB25B4">
      <w:pPr>
        <w:autoSpaceDE w:val="0"/>
        <w:autoSpaceDN w:val="0"/>
        <w:ind w:firstLine="397"/>
        <w:jc w:val="both"/>
      </w:pPr>
    </w:p>
    <w:p w14:paraId="44ADF91C" w14:textId="77777777" w:rsidR="00CB25B4" w:rsidRDefault="00CB25B4" w:rsidP="00CB25B4">
      <w:pPr>
        <w:autoSpaceDE w:val="0"/>
        <w:autoSpaceDN w:val="0"/>
        <w:ind w:firstLine="397"/>
        <w:jc w:val="both"/>
      </w:pPr>
      <w:r w:rsidRPr="00F53443">
        <w:rPr>
          <w:b/>
          <w:bCs/>
        </w:rPr>
        <w:t>Профилактика пневмоцистной пневмонии:</w:t>
      </w:r>
    </w:p>
    <w:p w14:paraId="613A8894" w14:textId="77777777" w:rsidR="00CB25B4" w:rsidRDefault="00CB25B4" w:rsidP="00CB25B4">
      <w:pPr>
        <w:autoSpaceDE w:val="0"/>
        <w:autoSpaceDN w:val="0"/>
        <w:ind w:firstLine="397"/>
        <w:jc w:val="both"/>
      </w:pPr>
      <w:r>
        <w:t>Профилактика ко-тримоксазолом показана всем детям, рожденным ВИЧ инфицированными женщинами.</w:t>
      </w:r>
    </w:p>
    <w:p w14:paraId="1D9674B4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Рекомендуемая схема: триметоприм/сульфаметоксазол по 150/750 мг/м</w:t>
      </w:r>
      <w:r>
        <w:rPr>
          <w:vertAlign w:val="superscript"/>
        </w:rPr>
        <w:t>2</w:t>
      </w:r>
      <w:r>
        <w:t xml:space="preserve"> в сутки, внутрь в 2 приема 3 раза в неделю (три дня подряд, например, в понедельник, вторник и среду), назначают в возрасте 6 недель. Продолжительность лечения составляет не менее 6 месяцев или до получения не менее двух отрицательных результатов ПЦР (провирусная ДНК) в возрасте 3-4 месяцев.</w:t>
      </w:r>
    </w:p>
    <w:p w14:paraId="3007D630" w14:textId="44E82E82" w:rsidR="00CB25B4" w:rsidRDefault="00CB25B4" w:rsidP="00CB25B4">
      <w:pPr>
        <w:autoSpaceDE w:val="0"/>
        <w:autoSpaceDN w:val="0"/>
        <w:ind w:firstLine="397"/>
        <w:jc w:val="both"/>
      </w:pPr>
      <w:r>
        <w:t>Всем младенцам, детям и подросткам с окончательным диагнозом ВИЧ-инфекции рекомендуется профилактика ко-тримоксазолом независимо от клинических проявлений и состояния иммунной системы</w:t>
      </w:r>
      <w:r w:rsidR="0000169D">
        <w:t xml:space="preserve"> (дети от 1 года до 5 лет с числом лимфоцитов С</w:t>
      </w:r>
      <w:r w:rsidR="0000169D" w:rsidRPr="00924898">
        <w:t>D4</w:t>
      </w:r>
      <w:r w:rsidR="0000169D">
        <w:t xml:space="preserve"> &lt;500 кл или долей лимфоцитов С</w:t>
      </w:r>
      <w:r w:rsidR="0000169D" w:rsidRPr="00924898">
        <w:t>D4</w:t>
      </w:r>
      <w:r w:rsidR="0000169D">
        <w:t xml:space="preserve">&lt;15%; дети </w:t>
      </w:r>
      <w:r w:rsidR="005C06E1">
        <w:t>старше 5</w:t>
      </w:r>
      <w:r w:rsidR="0000169D">
        <w:t xml:space="preserve"> лет с числом лимфоцитов С</w:t>
      </w:r>
      <w:r w:rsidR="0000169D" w:rsidRPr="00924898">
        <w:t>D4</w:t>
      </w:r>
      <w:r w:rsidR="0000169D">
        <w:t xml:space="preserve"> &lt;200 кл или долей лимфоцитов С</w:t>
      </w:r>
      <w:r w:rsidR="0000169D" w:rsidRPr="00924898">
        <w:t>D4</w:t>
      </w:r>
      <w:r w:rsidR="0000169D">
        <w:t>&lt;15%)</w:t>
      </w:r>
      <w:r>
        <w:t>. Рекомендуемая схема: триметоприм/сульфаметоксазол по 150/750 мг/м</w:t>
      </w:r>
      <w:r>
        <w:rPr>
          <w:vertAlign w:val="superscript"/>
        </w:rPr>
        <w:t>2</w:t>
      </w:r>
      <w:r>
        <w:t xml:space="preserve"> в сутки, внутрь в 1-2 приема 3 раза в неделю (три дня подряд, например, в понедельник, вторник и среду), назначают в возрасте 6 недель.</w:t>
      </w:r>
    </w:p>
    <w:p w14:paraId="37B0BD24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Профилактика может быть прекращена у детей 5 лет и старше в стабильном клиническом состоянии или достигших вирусологической супрессии на фоне </w:t>
      </w:r>
      <w:r>
        <w:rPr>
          <w:lang w:val="en-US"/>
        </w:rPr>
        <w:t>APT</w:t>
      </w:r>
      <w:r>
        <w:t xml:space="preserve"> длительностью как минимум 6 месяцев, при условии отсутствия тяжелого иммунодефицита. </w:t>
      </w:r>
    </w:p>
    <w:p w14:paraId="1254CF6B" w14:textId="77777777" w:rsidR="00CB25B4" w:rsidRPr="00924898" w:rsidRDefault="00CB25B4" w:rsidP="00CB25B4">
      <w:pPr>
        <w:autoSpaceDE w:val="0"/>
        <w:autoSpaceDN w:val="0"/>
        <w:ind w:firstLine="397"/>
        <w:jc w:val="both"/>
      </w:pPr>
      <w:r w:rsidRPr="00F03760">
        <w:t>Профилактика ко-тримоксазолом назначается всем пациентам с активной формой ТБ</w:t>
      </w:r>
      <w:r w:rsidRPr="00924898">
        <w:t>, независимо от уровня CD4 клеток. Профилактика может быть прекращена у клинически стабильных пациентов (получают АРТ в течение не менее одного года без каких-либо новых явлений, соответствующих клинической стадии 2, 3 или 4) с признаками восстановления иммунитета (CD4</w:t>
      </w:r>
      <w:r>
        <w:t xml:space="preserve"> </w:t>
      </w:r>
      <w:r w:rsidRPr="00924898">
        <w:t>&gt;</w:t>
      </w:r>
      <w:r>
        <w:t xml:space="preserve"> </w:t>
      </w:r>
      <w:r w:rsidRPr="00924898">
        <w:t>200</w:t>
      </w:r>
      <w:r>
        <w:t xml:space="preserve"> </w:t>
      </w:r>
      <w:r w:rsidRPr="00924898">
        <w:t>кл/мкл) и/или вирусной супрессии на фоне АРТ.</w:t>
      </w:r>
    </w:p>
    <w:p w14:paraId="5AA5FE55" w14:textId="77777777" w:rsidR="00CB25B4" w:rsidRDefault="00CB25B4" w:rsidP="00CB25B4">
      <w:pPr>
        <w:autoSpaceDE w:val="0"/>
        <w:autoSpaceDN w:val="0"/>
        <w:ind w:firstLine="397"/>
        <w:jc w:val="both"/>
      </w:pPr>
    </w:p>
    <w:p w14:paraId="2D1AE124" w14:textId="49B0124A" w:rsidR="00CB25B4" w:rsidRDefault="00CB25B4" w:rsidP="00CB25B4">
      <w:pPr>
        <w:autoSpaceDE w:val="0"/>
        <w:autoSpaceDN w:val="0"/>
        <w:ind w:firstLine="397"/>
        <w:jc w:val="both"/>
        <w:rPr>
          <w:b/>
          <w:bCs/>
        </w:rPr>
      </w:pPr>
      <w:r>
        <w:rPr>
          <w:b/>
          <w:bCs/>
        </w:rPr>
        <w:t xml:space="preserve">Лекарственные формы и дозы триметоприм/сульфаметоксазола для детей с ВИЧ-инфекцией: </w:t>
      </w:r>
    </w:p>
    <w:p w14:paraId="02BA9001" w14:textId="77777777" w:rsidR="00CB25B4" w:rsidRDefault="00CB25B4" w:rsidP="00CB25B4">
      <w:pPr>
        <w:autoSpaceDE w:val="0"/>
        <w:autoSpaceDN w:val="0"/>
        <w:ind w:firstLine="39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078"/>
        <w:gridCol w:w="1962"/>
        <w:gridCol w:w="2163"/>
        <w:gridCol w:w="1829"/>
      </w:tblGrid>
      <w:tr w:rsidR="00CB25B4" w14:paraId="3614F165" w14:textId="77777777" w:rsidTr="00FF409B"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02F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lastRenderedPageBreak/>
              <w:t>Рекомендованная суточная доза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DB3C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Суспензия или сироп (5 мл сиропа. 40/200 мг)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38E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Детская таблетка (20/100 мг)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DBC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Обычная таблетка для взрослых (80/400 мг)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3F8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Двойная таблетка для взрослых (160/800 мг)</w:t>
            </w:r>
          </w:p>
        </w:tc>
      </w:tr>
      <w:tr w:rsidR="00CB25B4" w14:paraId="59E9A290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7C31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&lt; 6 месяцев 20/100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4F1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2,5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501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 таблетка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672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1/4 таблетки, можно смешать с пищей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8F0C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CB25B4" w14:paraId="1B55E1F1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5B08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6 месяиев-5 лет 40/200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314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5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3B1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2 таблетки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CF3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1/2 таблетки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BC4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CB25B4" w14:paraId="209AC4C8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99B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6-14 лет 80/400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E00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10 мл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C25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4 таблетки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597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 таблетка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30D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1/2 таблетки</w:t>
            </w:r>
          </w:p>
        </w:tc>
      </w:tr>
      <w:tr w:rsidR="00CB25B4" w14:paraId="0D189CC0" w14:textId="77777777" w:rsidTr="00FF409B"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FF3A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&gt;14 лет 160/800 мг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345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4A4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105B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2 таблетки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645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 таблетка</w:t>
            </w:r>
          </w:p>
        </w:tc>
      </w:tr>
      <w:tr w:rsidR="00CB25B4" w14:paraId="7AB75B6D" w14:textId="77777777" w:rsidTr="00FF409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3351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а - в некоторых странах дозу определяют в соответствии с массой тела ребенка. Соответствие возраста и массы тела приведено ниже (по данным исследования </w:t>
            </w:r>
            <w:r>
              <w:rPr>
                <w:lang w:val="en-US"/>
              </w:rPr>
              <w:t>CHAP</w:t>
            </w:r>
            <w:r>
              <w:t>).</w:t>
            </w:r>
          </w:p>
        </w:tc>
      </w:tr>
    </w:tbl>
    <w:p w14:paraId="3CDBEF49" w14:textId="5C758C3B" w:rsidR="00CB25B4" w:rsidRDefault="00CB25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93"/>
      </w:tblGrid>
      <w:tr w:rsidR="00CB25B4" w14:paraId="7FD6FD6A" w14:textId="77777777" w:rsidTr="00FF409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29D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F14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Вес</w:t>
            </w:r>
          </w:p>
        </w:tc>
      </w:tr>
      <w:tr w:rsidR="00CB25B4" w14:paraId="4E652652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B6B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&lt; 6 месяцев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8B2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&lt;5 кг</w:t>
            </w:r>
          </w:p>
        </w:tc>
      </w:tr>
      <w:tr w:rsidR="00CB25B4" w14:paraId="4F0B787F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03F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6 месяцев-5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BF7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5-15 кг</w:t>
            </w:r>
          </w:p>
        </w:tc>
      </w:tr>
      <w:tr w:rsidR="00CB25B4" w14:paraId="60D8EB22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7D6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6-14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778B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15-30 кг</w:t>
            </w:r>
          </w:p>
        </w:tc>
      </w:tr>
      <w:tr w:rsidR="00CB25B4" w14:paraId="59BE7F38" w14:textId="77777777" w:rsidTr="00FF40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56C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&gt;14 лет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2CC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&gt;30кг</w:t>
            </w:r>
          </w:p>
        </w:tc>
      </w:tr>
    </w:tbl>
    <w:p w14:paraId="24919ECF" w14:textId="01F4CDC2" w:rsidR="00CB25B4" w:rsidRDefault="00CB25B4"/>
    <w:p w14:paraId="61B184C4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Профилактика токсоплазмоза:</w:t>
      </w:r>
    </w:p>
    <w:p w14:paraId="723F3582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Показаниями к проведению профилактики токсоплазмоза служит тяжелый иммунодефицит (число лимфоцитов </w:t>
      </w:r>
      <w:r>
        <w:rPr>
          <w:lang w:val="en-US"/>
        </w:rPr>
        <w:t>CD</w:t>
      </w:r>
      <w:r>
        <w:t xml:space="preserve">4 &lt;100 к/мкл или доля лимфоцитов </w:t>
      </w:r>
      <w:r>
        <w:rPr>
          <w:lang w:val="en-US"/>
        </w:rPr>
        <w:t>CD</w:t>
      </w:r>
      <w:r>
        <w:t>4 &lt;15%).</w:t>
      </w:r>
    </w:p>
    <w:p w14:paraId="7DF4A20D" w14:textId="717109BD" w:rsidR="00CB25B4" w:rsidRDefault="00CB25B4" w:rsidP="00CB25B4">
      <w:pPr>
        <w:autoSpaceDE w:val="0"/>
        <w:autoSpaceDN w:val="0"/>
        <w:ind w:firstLine="397"/>
        <w:jc w:val="both"/>
      </w:pPr>
      <w:r>
        <w:t>Профилактика токсоплазмоза проводится ТМП/СМК</w:t>
      </w:r>
      <w:r w:rsidR="007E1AF9">
        <w:t xml:space="preserve"> по 150/750 мг/м</w:t>
      </w:r>
      <w:r w:rsidR="007E1AF9">
        <w:rPr>
          <w:vertAlign w:val="superscript"/>
        </w:rPr>
        <w:t>2</w:t>
      </w:r>
      <w:r w:rsidR="007E1AF9">
        <w:t xml:space="preserve"> в сутки, внутрь в 2 приема, ежедневно</w:t>
      </w:r>
      <w:r>
        <w:t>.</w:t>
      </w:r>
    </w:p>
    <w:p w14:paraId="2CF9C73B" w14:textId="77777777" w:rsidR="00CB25B4" w:rsidRDefault="00CB25B4" w:rsidP="00CB25B4">
      <w:pPr>
        <w:autoSpaceDE w:val="0"/>
        <w:autoSpaceDN w:val="0"/>
        <w:ind w:firstLine="397"/>
        <w:jc w:val="both"/>
      </w:pPr>
      <w:r>
        <w:t>Для профилактики токсоплазмоза также можно использовать атоваквон или дапсон с пириметамином. (</w:t>
      </w:r>
      <w:r>
        <w:rPr>
          <w:b/>
          <w:bCs/>
          <w:lang w:val="en-US"/>
        </w:rPr>
        <w:t>NB</w:t>
      </w:r>
      <w:r>
        <w:rPr>
          <w:b/>
          <w:bCs/>
        </w:rPr>
        <w:t>!</w:t>
      </w:r>
      <w:r>
        <w:t xml:space="preserve"> Перечисленные препараты применять после регистрации на территории РК).</w:t>
      </w:r>
    </w:p>
    <w:p w14:paraId="27862E78" w14:textId="7D2A366F" w:rsidR="00CB25B4" w:rsidRDefault="00CB25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292"/>
        <w:gridCol w:w="1757"/>
        <w:gridCol w:w="2256"/>
        <w:gridCol w:w="2441"/>
      </w:tblGrid>
      <w:tr w:rsidR="00CB25B4" w14:paraId="4029AF49" w14:textId="77777777" w:rsidTr="00FF409B"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044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Противомикробный препарат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C36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Доза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155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Частота приема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A88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Способ применения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36A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Продолжительность лечения</w:t>
            </w:r>
          </w:p>
        </w:tc>
      </w:tr>
      <w:tr w:rsidR="00CB25B4" w14:paraId="75F8A77D" w14:textId="77777777" w:rsidTr="00FF409B"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5EB6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ТМП/СМК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21C4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960 мг/м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3824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1 раз в сутки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920C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Внутрь ежедневно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AF73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До восстановления </w:t>
            </w:r>
            <w:r>
              <w:rPr>
                <w:lang w:val="en-US"/>
              </w:rPr>
              <w:t xml:space="preserve">CD4 </w:t>
            </w:r>
            <w:r>
              <w:t>&gt;100/мкл</w:t>
            </w:r>
          </w:p>
        </w:tc>
      </w:tr>
    </w:tbl>
    <w:p w14:paraId="577732F7" w14:textId="46F84B54" w:rsidR="00CB25B4" w:rsidRDefault="00CB25B4"/>
    <w:p w14:paraId="3E6EA1B8" w14:textId="00FBD0BD" w:rsidR="00BF0833" w:rsidRDefault="00BF0833" w:rsidP="00BF0833">
      <w:pPr>
        <w:ind w:firstLine="426"/>
      </w:pPr>
      <w:r w:rsidRPr="00BF0833">
        <w:rPr>
          <w:b/>
          <w:bCs/>
        </w:rPr>
        <w:t xml:space="preserve">Профилактика комплекса </w:t>
      </w:r>
      <w:r w:rsidRPr="00BF0833">
        <w:rPr>
          <w:b/>
          <w:bCs/>
          <w:lang w:val="en-US"/>
        </w:rPr>
        <w:t>Micobacterium</w:t>
      </w:r>
      <w:r w:rsidRPr="00BF0833">
        <w:rPr>
          <w:b/>
          <w:bCs/>
        </w:rPr>
        <w:t xml:space="preserve"> </w:t>
      </w:r>
      <w:r w:rsidRPr="00BF0833">
        <w:rPr>
          <w:b/>
          <w:bCs/>
          <w:lang w:val="en-US"/>
        </w:rPr>
        <w:t>avium</w:t>
      </w:r>
      <w:r w:rsidR="00FF7214">
        <w:rPr>
          <w:b/>
          <w:bCs/>
        </w:rPr>
        <w:t>*</w:t>
      </w:r>
      <w:r>
        <w:rPr>
          <w:b/>
          <w:bCs/>
        </w:rPr>
        <w:t xml:space="preserve">: </w:t>
      </w:r>
      <w:r w:rsidRPr="00BF0833">
        <w:t>проводится по следующим показаниям</w:t>
      </w:r>
    </w:p>
    <w:p w14:paraId="688CFDC4" w14:textId="1344564B" w:rsidR="00BF0833" w:rsidRDefault="00BF0833" w:rsidP="00BF0833">
      <w:pPr>
        <w:ind w:firstLine="426"/>
      </w:pPr>
      <w:r>
        <w:t>Дети ≥ 6 лет с числом лимфоцитов С</w:t>
      </w:r>
      <w:r w:rsidRPr="00924898">
        <w:t>D4</w:t>
      </w:r>
      <w:r>
        <w:t xml:space="preserve"> &lt;50 кл;</w:t>
      </w:r>
    </w:p>
    <w:p w14:paraId="4631C669" w14:textId="1E088B20" w:rsidR="00BF0833" w:rsidRDefault="00BF0833" w:rsidP="00BF0833">
      <w:pPr>
        <w:ind w:firstLine="426"/>
      </w:pPr>
      <w:r>
        <w:t xml:space="preserve">Дети </w:t>
      </w:r>
      <w:r w:rsidR="003A1C5E">
        <w:t>2-6</w:t>
      </w:r>
      <w:r>
        <w:t xml:space="preserve"> лет с числом лимфоцитов С</w:t>
      </w:r>
      <w:r w:rsidRPr="00924898">
        <w:t>D4</w:t>
      </w:r>
      <w:r>
        <w:t xml:space="preserve"> &lt;</w:t>
      </w:r>
      <w:r w:rsidR="003A1C5E">
        <w:t>75</w:t>
      </w:r>
      <w:r>
        <w:t xml:space="preserve"> кл;</w:t>
      </w:r>
    </w:p>
    <w:p w14:paraId="6C45791B" w14:textId="039FC6FE" w:rsidR="003A1C5E" w:rsidRDefault="003A1C5E" w:rsidP="003A1C5E">
      <w:pPr>
        <w:ind w:firstLine="426"/>
      </w:pPr>
      <w:r>
        <w:t>Дети 1-2 лет с числом лимфоцитов С</w:t>
      </w:r>
      <w:r w:rsidRPr="00924898">
        <w:t>D4</w:t>
      </w:r>
      <w:r>
        <w:t xml:space="preserve"> &lt;500 кл;</w:t>
      </w:r>
    </w:p>
    <w:p w14:paraId="23A1B739" w14:textId="2226C275" w:rsidR="003A1C5E" w:rsidRDefault="003A1C5E" w:rsidP="003A1C5E">
      <w:pPr>
        <w:ind w:firstLine="426"/>
      </w:pPr>
      <w:r>
        <w:t>Дети &lt;1 года с числом лимфоцитов С</w:t>
      </w:r>
      <w:r w:rsidRPr="00924898">
        <w:t>D4</w:t>
      </w:r>
      <w:r>
        <w:t xml:space="preserve"> &lt;750 кл;</w:t>
      </w:r>
    </w:p>
    <w:p w14:paraId="48CE0931" w14:textId="0097D908" w:rsidR="003A1C5E" w:rsidRDefault="003A1C5E" w:rsidP="00BF0833">
      <w:pPr>
        <w:ind w:firstLine="426"/>
      </w:pPr>
      <w:r>
        <w:t xml:space="preserve">Профилактика проводится – препарат выбора – </w:t>
      </w:r>
      <w:r w:rsidR="00FF7214">
        <w:t>к</w:t>
      </w:r>
      <w:r>
        <w:t xml:space="preserve">ларитромицин 7,5 мг/кг (максимальная доза 500 мг) внутрь в 2 раза в сутки; азитромицин 20 мг/кг (максимальная доза 1200 мг) внутрь 1 раз в неделю. Продолжительность терапии до восстановления </w:t>
      </w:r>
      <w:r w:rsidR="00A140CF">
        <w:t>С</w:t>
      </w:r>
      <w:r w:rsidR="00A140CF" w:rsidRPr="00924898">
        <w:t>D4</w:t>
      </w:r>
      <w:r w:rsidR="00A140CF">
        <w:t xml:space="preserve"> выше критерием начала терапии. </w:t>
      </w:r>
    </w:p>
    <w:p w14:paraId="6645F59D" w14:textId="24EC80E5" w:rsidR="00A140CF" w:rsidRDefault="00A140CF" w:rsidP="00BF0833">
      <w:pPr>
        <w:ind w:firstLine="426"/>
      </w:pPr>
    </w:p>
    <w:p w14:paraId="2019AA82" w14:textId="5783A0D9" w:rsidR="00A140CF" w:rsidRPr="00FF7214" w:rsidRDefault="00B26F39" w:rsidP="00BF0833">
      <w:pPr>
        <w:ind w:firstLine="426"/>
        <w:rPr>
          <w:b/>
          <w:bCs/>
        </w:rPr>
      </w:pPr>
      <w:r w:rsidRPr="00FF7214">
        <w:rPr>
          <w:b/>
          <w:bCs/>
        </w:rPr>
        <w:t>Профилактика криптококкоза, гимтоплазмоза и кокцид</w:t>
      </w:r>
      <w:r w:rsidR="00FF7214" w:rsidRPr="00FF7214">
        <w:rPr>
          <w:b/>
          <w:bCs/>
        </w:rPr>
        <w:t>иоидоза</w:t>
      </w:r>
      <w:r w:rsidR="00FF7214">
        <w:rPr>
          <w:b/>
          <w:bCs/>
        </w:rPr>
        <w:t>*</w:t>
      </w:r>
      <w:r w:rsidR="00FF7214" w:rsidRPr="00FF7214">
        <w:rPr>
          <w:b/>
          <w:bCs/>
        </w:rPr>
        <w:t>:</w:t>
      </w:r>
      <w:r w:rsidR="00FF7214">
        <w:rPr>
          <w:b/>
          <w:bCs/>
        </w:rPr>
        <w:t xml:space="preserve"> </w:t>
      </w:r>
      <w:r w:rsidR="00FF7214" w:rsidRPr="00FF7214">
        <w:t>показание</w:t>
      </w:r>
      <w:r w:rsidR="00FF7214">
        <w:t xml:space="preserve"> является глубокий иммунодифицит. Препараты выбора – флуконазол, </w:t>
      </w:r>
      <w:r w:rsidR="00FF7214" w:rsidRPr="00FF7214">
        <w:t>3-6 мг/кг внутрь ежедневно</w:t>
      </w:r>
      <w:r w:rsidR="00FF7214">
        <w:t>, итраконазол, 2-5 мг/кг внутрь каждые 12 – 24 часа.</w:t>
      </w:r>
      <w:r w:rsidR="00FF7214" w:rsidRPr="00FF7214">
        <w:t xml:space="preserve"> </w:t>
      </w:r>
      <w:r w:rsidR="00FF7214" w:rsidRPr="00FF7214">
        <w:rPr>
          <w:b/>
          <w:bCs/>
        </w:rPr>
        <w:t xml:space="preserve"> </w:t>
      </w:r>
    </w:p>
    <w:p w14:paraId="3FAF49C5" w14:textId="6FBE9BE4" w:rsidR="00BF0833" w:rsidRDefault="00BF0833" w:rsidP="00BF0833">
      <w:pPr>
        <w:ind w:firstLine="426"/>
        <w:rPr>
          <w:b/>
          <w:bCs/>
        </w:rPr>
      </w:pPr>
    </w:p>
    <w:p w14:paraId="129E4F84" w14:textId="77777777" w:rsidR="00CC1EC9" w:rsidRPr="00C5368F" w:rsidRDefault="00FF7214" w:rsidP="00B26F4C">
      <w:pPr>
        <w:autoSpaceDE w:val="0"/>
        <w:autoSpaceDN w:val="0"/>
        <w:adjustRightInd w:val="0"/>
        <w:rPr>
          <w:rFonts w:eastAsia="TimesNewRomanPSMT"/>
          <w:i/>
          <w:color w:val="auto"/>
          <w:lang w:eastAsia="en-US"/>
        </w:rPr>
      </w:pPr>
      <w:r>
        <w:rPr>
          <w:b/>
          <w:bCs/>
        </w:rPr>
        <w:t>*</w:t>
      </w:r>
      <w:r w:rsidRPr="00FF7214">
        <w:rPr>
          <w:rFonts w:ascii="TimesNewRomanPSMT" w:eastAsia="TimesNewRomanPSMT" w:hAnsiTheme="minorHAnsi" w:cs="TimesNewRomanPSMT" w:hint="eastAsia"/>
          <w:color w:val="auto"/>
          <w:lang w:eastAsia="en-US"/>
        </w:rPr>
        <w:t xml:space="preserve"> </w:t>
      </w:r>
      <w:r w:rsidRPr="00C5368F">
        <w:rPr>
          <w:i/>
        </w:rPr>
        <w:t>Криптококкоз возникает при выраженном иммунодефиците, но у детей наблюдается</w:t>
      </w:r>
      <w:r w:rsidR="00B26F4C" w:rsidRPr="00C5368F">
        <w:rPr>
          <w:i/>
        </w:rPr>
        <w:t xml:space="preserve"> </w:t>
      </w:r>
      <w:r w:rsidRPr="00C5368F">
        <w:rPr>
          <w:i/>
        </w:rPr>
        <w:t>реже, чем у взрослых. Диагноз ставят на основании обнаружения криптококкового антигена в крови или цереброспинальной жидкости либо выделения культуры возбудителя.</w:t>
      </w:r>
      <w:r w:rsidR="00B26F4C" w:rsidRPr="00C5368F">
        <w:rPr>
          <w:i/>
        </w:rPr>
        <w:t xml:space="preserve"> </w:t>
      </w:r>
      <w:r w:rsidR="00B26F4C" w:rsidRPr="00C5368F">
        <w:rPr>
          <w:rFonts w:eastAsia="TimesNewRomanPSMT"/>
          <w:i/>
          <w:color w:val="auto"/>
          <w:lang w:eastAsia="en-US"/>
        </w:rPr>
        <w:t xml:space="preserve">самое важное – начать АРТ, чтобы снизить риск возникновения этой инфекции. </w:t>
      </w:r>
    </w:p>
    <w:p w14:paraId="7E6F772E" w14:textId="5E5D3D7D" w:rsidR="00FF7214" w:rsidRPr="00C5368F" w:rsidRDefault="00CC1EC9" w:rsidP="00B26F4C">
      <w:pPr>
        <w:autoSpaceDE w:val="0"/>
        <w:autoSpaceDN w:val="0"/>
        <w:adjustRightInd w:val="0"/>
        <w:rPr>
          <w:rFonts w:eastAsia="TimesNewRomanPSMT"/>
          <w:i/>
          <w:color w:val="auto"/>
          <w:lang w:eastAsia="en-US"/>
        </w:rPr>
      </w:pPr>
      <w:r w:rsidRPr="00C5368F">
        <w:rPr>
          <w:rFonts w:eastAsia="TimesNewRomanPSMT"/>
          <w:i/>
          <w:color w:val="auto"/>
          <w:lang w:eastAsia="en-US"/>
        </w:rPr>
        <w:t>*</w:t>
      </w:r>
      <w:r w:rsidR="00B26F4C" w:rsidRPr="00C5368F">
        <w:rPr>
          <w:rFonts w:eastAsia="TimesNewRomanPSMT"/>
          <w:i/>
          <w:color w:val="auto"/>
          <w:lang w:eastAsia="en-US"/>
        </w:rPr>
        <w:t xml:space="preserve">У детей с только что выявленной ВИЧ-инфекцией и очень низким числом лимфоцитов CD4 необходимо принять решение, следует ли добавлять антибиотик к АРТ или это будет мешать </w:t>
      </w:r>
      <w:r w:rsidR="00B26F4C" w:rsidRPr="00C5368F">
        <w:rPr>
          <w:rFonts w:eastAsia="TimesNewRomanPSMT"/>
          <w:i/>
          <w:color w:val="auto"/>
          <w:lang w:eastAsia="en-US"/>
        </w:rPr>
        <w:lastRenderedPageBreak/>
        <w:t xml:space="preserve">соблюдению режима лечения. Если высока вероятность того, что профилактика инфекции, вызванной бактериями комплекса </w:t>
      </w:r>
      <w:r w:rsidR="00B26F4C" w:rsidRPr="00C5368F">
        <w:rPr>
          <w:rFonts w:eastAsia="TimesNewRomanPSMT"/>
          <w:i/>
          <w:iCs/>
          <w:color w:val="auto"/>
          <w:lang w:eastAsia="en-US"/>
        </w:rPr>
        <w:t xml:space="preserve">Mycobacterium avium, </w:t>
      </w:r>
      <w:r w:rsidR="00B26F4C" w:rsidRPr="00C5368F">
        <w:rPr>
          <w:rFonts w:eastAsia="TimesNewRomanPSMT"/>
          <w:i/>
          <w:color w:val="auto"/>
          <w:lang w:eastAsia="en-US"/>
        </w:rPr>
        <w:t xml:space="preserve">снизит приверженность АРТ, или если на АРТ ожидается быстрый ответ, то от профилактического лечения целесообразно воздержаться. В терминальной стадии ВИЧ-инфекции и при тяжелом иммунодефиците, когда многие схемы АРТ потерпели неудачу, профилактика инфекции, вызванной комплексом </w:t>
      </w:r>
      <w:r w:rsidR="00B26F4C" w:rsidRPr="00C5368F">
        <w:rPr>
          <w:rFonts w:eastAsia="TimesNewRomanPSMT"/>
          <w:i/>
          <w:iCs/>
          <w:color w:val="auto"/>
          <w:lang w:eastAsia="en-US"/>
        </w:rPr>
        <w:t>Mycobacterium avium,</w:t>
      </w:r>
      <w:r w:rsidR="00B26F4C" w:rsidRPr="00C5368F">
        <w:rPr>
          <w:rFonts w:eastAsia="TimesNewRomanPSMT"/>
          <w:i/>
          <w:color w:val="auto"/>
          <w:lang w:eastAsia="en-US"/>
        </w:rPr>
        <w:t xml:space="preserve"> оправдывает себя.</w:t>
      </w:r>
    </w:p>
    <w:p w14:paraId="6EB22CC9" w14:textId="77777777" w:rsidR="00B26F4C" w:rsidRPr="00B26F4C" w:rsidRDefault="00B26F4C" w:rsidP="00B26F4C">
      <w:pPr>
        <w:autoSpaceDE w:val="0"/>
        <w:autoSpaceDN w:val="0"/>
        <w:adjustRightInd w:val="0"/>
        <w:rPr>
          <w:rFonts w:eastAsia="TimesNewRomanPSMT"/>
          <w:color w:val="auto"/>
          <w:lang w:eastAsia="en-US"/>
        </w:rPr>
      </w:pPr>
    </w:p>
    <w:p w14:paraId="03803EE7" w14:textId="2FAF0A7F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Химиопрофилактика туберкулеза:</w:t>
      </w:r>
      <w:r>
        <w:t xml:space="preserve"> проводится всем впервые выявленным </w:t>
      </w:r>
      <w:r w:rsidR="009753CB">
        <w:t>ВИЧ-инфицированным</w:t>
      </w:r>
      <w:r>
        <w:t xml:space="preserve"> лицам (дети старше 12 месяцев, подростки), в том числе ранее перенесшим туберкулёз, независимо от туберкулиновой чувствительности, при установлении у них контакта с больным лёгочным или внелёгочным туберкулёзом.</w:t>
      </w:r>
    </w:p>
    <w:p w14:paraId="69F9C6D5" w14:textId="77777777" w:rsidR="00CB25B4" w:rsidRDefault="00CB25B4" w:rsidP="00CB25B4">
      <w:pPr>
        <w:autoSpaceDE w:val="0"/>
        <w:autoSpaceDN w:val="0"/>
        <w:ind w:firstLine="397"/>
        <w:jc w:val="both"/>
      </w:pPr>
      <w:r>
        <w:t>Химиопрофилактика туберкулёза проводится однократно при установлении положительного ВИЧ - статуса.</w:t>
      </w:r>
    </w:p>
    <w:p w14:paraId="2E4DCBF2" w14:textId="77777777" w:rsidR="00CB25B4" w:rsidRDefault="00CB25B4" w:rsidP="00CB25B4">
      <w:pPr>
        <w:autoSpaceDE w:val="0"/>
        <w:autoSpaceDN w:val="0"/>
        <w:ind w:firstLine="397"/>
        <w:jc w:val="both"/>
      </w:pPr>
      <w:r>
        <w:t>Стандартный режим:</w:t>
      </w:r>
    </w:p>
    <w:p w14:paraId="7995D256" w14:textId="77777777" w:rsidR="00CB25B4" w:rsidRDefault="00CB25B4" w:rsidP="00CB25B4">
      <w:pPr>
        <w:autoSpaceDE w:val="0"/>
        <w:autoSpaceDN w:val="0"/>
        <w:ind w:firstLine="397"/>
        <w:jc w:val="both"/>
      </w:pPr>
      <w:r>
        <w:t>Изониазид (Н) - 10 мг на 1 кг веса, но не более 0,3 гр. в сутки внутрь, ежедневно, в течение 6 месяцев. Одновременно с изониазидом назначаются поливитамины, содержащие витамины группы В (пиридоксин - 25 мг в сутки).</w:t>
      </w:r>
    </w:p>
    <w:p w14:paraId="03B31BC4" w14:textId="77777777" w:rsidR="00CB25B4" w:rsidRDefault="00CB25B4" w:rsidP="00CB25B4">
      <w:pPr>
        <w:autoSpaceDE w:val="0"/>
        <w:autoSpaceDN w:val="0"/>
        <w:ind w:firstLine="397"/>
        <w:jc w:val="both"/>
      </w:pPr>
    </w:p>
    <w:p w14:paraId="093CDEAF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Кратность обследования во время диспансерного наблюдения:</w:t>
      </w:r>
    </w:p>
    <w:p w14:paraId="7F37A70D" w14:textId="77777777" w:rsidR="00CB25B4" w:rsidRDefault="00CB25B4" w:rsidP="00CB25B4">
      <w:pPr>
        <w:autoSpaceDE w:val="0"/>
        <w:autoSpaceDN w:val="0"/>
        <w:ind w:firstLine="397"/>
        <w:jc w:val="both"/>
      </w:pPr>
      <w:r>
        <w:t>Плановое клиническое обследование детей с ВИЧ-инфекцией нужно проводить не реже одного раза в 3 - 6 месяцев. Проводится физикальное обследование, общеклинические и биохимические анализы. У каждого ребенка необходимо отмечать диаграмму физического развития (рост и вес).</w:t>
      </w:r>
    </w:p>
    <w:p w14:paraId="1510A8DE" w14:textId="77777777" w:rsidR="00CB25B4" w:rsidRDefault="00CB25B4" w:rsidP="00CB25B4">
      <w:pPr>
        <w:autoSpaceDE w:val="0"/>
        <w:autoSpaceDN w:val="0"/>
        <w:ind w:firstLine="397"/>
        <w:jc w:val="both"/>
      </w:pPr>
      <w:r>
        <w:t>Обследование на СД4 лимфоциты проводится при постановке на «Д» учет, далее 1 раз в 3 месяца у детей до 2-х летнего возраста и 1 раз в 6 месяцев старше 2-х лет, по показаниям чаще.</w:t>
      </w:r>
    </w:p>
    <w:p w14:paraId="3B2B0BF7" w14:textId="77777777" w:rsidR="00CB25B4" w:rsidRDefault="00CB25B4" w:rsidP="00CB25B4">
      <w:pPr>
        <w:autoSpaceDE w:val="0"/>
        <w:autoSpaceDN w:val="0"/>
        <w:ind w:firstLine="397"/>
        <w:jc w:val="both"/>
      </w:pPr>
      <w:r>
        <w:t>Перечень дополнительных медикаментов: в соответствии с нозологией ОИ и коинфекции.</w:t>
      </w:r>
    </w:p>
    <w:p w14:paraId="7D76C8DC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5104A0B9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Сроки проведения лабораторных исследований</w:t>
      </w:r>
    </w:p>
    <w:p w14:paraId="3996BC56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179"/>
        <w:gridCol w:w="1179"/>
        <w:gridCol w:w="1180"/>
        <w:gridCol w:w="1180"/>
        <w:gridCol w:w="1180"/>
        <w:gridCol w:w="1178"/>
      </w:tblGrid>
      <w:tr w:rsidR="00CB25B4" w14:paraId="1563F953" w14:textId="77777777" w:rsidTr="00FF409B"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E51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4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C71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CB25B4" w14:paraId="3E9BEA67" w14:textId="77777777" w:rsidTr="00FF40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9B54" w14:textId="77777777" w:rsidR="00CB25B4" w:rsidRDefault="00CB25B4" w:rsidP="00FF409B"/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A58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 </w:t>
            </w:r>
          </w:p>
          <w:p w14:paraId="2861245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 xml:space="preserve">Перед началом </w:t>
            </w:r>
            <w:r>
              <w:rPr>
                <w:b/>
                <w:bCs/>
                <w:lang w:val="en-US"/>
              </w:rPr>
              <w:t>APT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60C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2 нед.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FA6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4 нед.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E6B0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12 нед.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C58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24 нед.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B2D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48 нед.</w:t>
            </w:r>
          </w:p>
        </w:tc>
      </w:tr>
      <w:tr w:rsidR="00CB25B4" w14:paraId="2D021CC1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3466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Вирусная нагрузка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3C17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351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95F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FFE0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FC9B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A40C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B25B4" w14:paraId="264B7753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DB06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Число лимфоцитов </w:t>
            </w:r>
            <w:r>
              <w:rPr>
                <w:lang w:val="en-US"/>
              </w:rPr>
              <w:t>CD4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56E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16E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B765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73D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946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A0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B25B4" w14:paraId="3476E176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63A6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Общий анализ крови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AF7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6CF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DA54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B4DD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4EC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605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B25B4" w14:paraId="296E316B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4422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Биохимические показатели функции печени 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A524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394A" w14:textId="77777777" w:rsidR="00CB25B4" w:rsidRDefault="00CB25B4" w:rsidP="00FF409B">
            <w:pPr>
              <w:autoSpaceDE w:val="0"/>
              <w:autoSpaceDN w:val="0"/>
              <w:jc w:val="center"/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6BE0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х</w:t>
            </w:r>
          </w:p>
          <w:p w14:paraId="387B5FB8" w14:textId="77777777" w:rsidR="00CB25B4" w:rsidRDefault="00CB25B4" w:rsidP="00FF409B">
            <w:pPr>
              <w:autoSpaceDE w:val="0"/>
              <w:autoSpaceDN w:val="0"/>
              <w:jc w:val="center"/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F7F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х</w:t>
            </w:r>
          </w:p>
          <w:p w14:paraId="491DEFE4" w14:textId="77777777" w:rsidR="00CB25B4" w:rsidRDefault="00CB25B4" w:rsidP="00FF409B">
            <w:pPr>
              <w:autoSpaceDE w:val="0"/>
              <w:autoSpaceDN w:val="0"/>
              <w:jc w:val="center"/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A3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4865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B25B4" w14:paraId="74D4E32E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B0D7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Холестерин, триглицериды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C8D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152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8D3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9AD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341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535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B25B4" w14:paraId="263E65F9" w14:textId="77777777" w:rsidTr="00FF409B">
        <w:tc>
          <w:tcPr>
            <w:tcW w:w="1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CDB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Показатели функции почек (креатинин)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2BD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155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х</w:t>
            </w:r>
          </w:p>
          <w:p w14:paraId="3C09B232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TDF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05F9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х</w:t>
            </w:r>
          </w:p>
          <w:p w14:paraId="11200B2F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TDF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C8D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A85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EF1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x</w:t>
            </w:r>
          </w:p>
        </w:tc>
      </w:tr>
    </w:tbl>
    <w:p w14:paraId="618341CD" w14:textId="78FFD97C" w:rsidR="00CB25B4" w:rsidRDefault="00CB25B4"/>
    <w:p w14:paraId="6D0F55AC" w14:textId="77777777" w:rsidR="00CB25B4" w:rsidRDefault="00CB25B4" w:rsidP="00CB25B4">
      <w:pPr>
        <w:autoSpaceDE w:val="0"/>
        <w:autoSpaceDN w:val="0"/>
        <w:ind w:firstLine="397"/>
        <w:jc w:val="both"/>
      </w:pPr>
      <w:r>
        <w:t>х - лабораторное исследование показано независимо от используемых АРВ - препаратов; х (АРВ - препарат) - исследование показано пациентам, которые получают указанный в скобках препарат.</w:t>
      </w:r>
    </w:p>
    <w:p w14:paraId="00569914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b</w:t>
      </w:r>
      <w:r w:rsidRPr="004121A6">
        <w:t xml:space="preserve"> </w:t>
      </w:r>
      <w:r>
        <w:t>Пациентам с хроническими гепатитами биохимические показатели определяют согласно клиническому протоколу диагностики и лечения хронического вирусного гепатита В и С у детей в РК.</w:t>
      </w:r>
    </w:p>
    <w:p w14:paraId="153B55D5" w14:textId="77777777" w:rsidR="00CB25B4" w:rsidRDefault="00CB25B4" w:rsidP="00CB25B4">
      <w:pPr>
        <w:autoSpaceDE w:val="0"/>
        <w:autoSpaceDN w:val="0"/>
        <w:ind w:firstLine="397"/>
        <w:jc w:val="both"/>
      </w:pPr>
      <w:r>
        <w:t> </w:t>
      </w:r>
    </w:p>
    <w:p w14:paraId="20587D63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Повышение приверженности у детей:</w:t>
      </w:r>
    </w:p>
    <w:p w14:paraId="7DCEF8DD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образовательная программа для родителей и детей всех возрастов по вопросам ВИЧ-инфекции;</w:t>
      </w:r>
    </w:p>
    <w:p w14:paraId="082E27A8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своевременное раскрытие статуса детям школьного возраста 7-11 лет;</w:t>
      </w:r>
    </w:p>
    <w:p w14:paraId="6DB404C3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консультирование равными консультантами родителей и детей старше 7-11 лет при известном ВИЧ - статусе;</w:t>
      </w:r>
    </w:p>
    <w:p w14:paraId="2E27978A" w14:textId="77777777" w:rsidR="00CB25B4" w:rsidRDefault="00CB25B4" w:rsidP="00CB25B4">
      <w:pPr>
        <w:autoSpaceDE w:val="0"/>
        <w:autoSpaceDN w:val="0"/>
        <w:ind w:firstLine="397"/>
        <w:jc w:val="both"/>
      </w:pPr>
      <w:r>
        <w:lastRenderedPageBreak/>
        <w:t>- текстовые сообщения на мобильный телефон родителям и детям старше 7-11 лет при известном ВИЧ - статусе;</w:t>
      </w:r>
    </w:p>
    <w:p w14:paraId="3FED55C9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применение таблетниц;</w:t>
      </w:r>
    </w:p>
    <w:p w14:paraId="0F00D2E5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когнитивно-поведенческая терапия родителей и детей старше 7-11 лет при известном ВИЧ - статусе;</w:t>
      </w:r>
    </w:p>
    <w:p w14:paraId="2DA74A9F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тренинг поведенческих навыков по повышению приверженности для родителей и детей старше 7-11 лет при известном ВИЧ - статусе;</w:t>
      </w:r>
    </w:p>
    <w:p w14:paraId="05E68EC8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комбинации фиксированных доз и схемы приема препаратов один раз в день для детей старше 12 лет и массой 35 кг и более;</w:t>
      </w:r>
    </w:p>
    <w:p w14:paraId="79003A09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патронаж на дому. </w:t>
      </w:r>
    </w:p>
    <w:p w14:paraId="18BF71FE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Оценка приверженности:</w:t>
      </w:r>
    </w:p>
    <w:p w14:paraId="0384E788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мониторинг ВН;</w:t>
      </w:r>
    </w:p>
    <w:p w14:paraId="1CB3001C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учет отпуска лекарственных средств;</w:t>
      </w:r>
    </w:p>
    <w:p w14:paraId="1A17F263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самоотчеты;</w:t>
      </w:r>
    </w:p>
    <w:p w14:paraId="23BA8CFE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подсчет количества таблеток.</w:t>
      </w:r>
    </w:p>
    <w:p w14:paraId="46BFBB9F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Раскрытие ребенку его положительного ВИЧ статуса (использовать Руководство по психосоциальной поддержке детей и подростков, живущих с ВИЧ и другими хроническими заболеваниями, утвержденного ученым советом Казахского научного центра дерматологии и инфекционных заболеваний, протокол № 2 от 13.05.2019, </w:t>
      </w:r>
      <w:r>
        <w:rPr>
          <w:b/>
          <w:bCs/>
          <w:lang w:val="en-US"/>
        </w:rPr>
        <w:t>ISBN</w:t>
      </w:r>
      <w:r>
        <w:rPr>
          <w:b/>
          <w:bCs/>
        </w:rPr>
        <w:t xml:space="preserve"> 978-601-80775-1-7):</w:t>
      </w:r>
    </w:p>
    <w:p w14:paraId="448DAA50" w14:textId="77777777" w:rsidR="00CB25B4" w:rsidRDefault="00CB25B4" w:rsidP="00CB25B4">
      <w:pPr>
        <w:autoSpaceDE w:val="0"/>
        <w:autoSpaceDN w:val="0"/>
        <w:ind w:firstLine="397"/>
        <w:jc w:val="both"/>
      </w:pPr>
      <w:r>
        <w:t>Возраст 7-11 лет, определяется индивидуально совместно родителями/опекунами, психологом и врачом.</w:t>
      </w:r>
    </w:p>
    <w:p w14:paraId="09CB99F4" w14:textId="77777777" w:rsidR="00CB25B4" w:rsidRDefault="00CB25B4" w:rsidP="00CB25B4">
      <w:pPr>
        <w:autoSpaceDE w:val="0"/>
        <w:autoSpaceDN w:val="0"/>
        <w:ind w:firstLine="397"/>
        <w:jc w:val="both"/>
      </w:pPr>
      <w:r>
        <w:t>Проводят профессионально подготовленные лица или родители в наиболее благоприятный момент жизни ребенка, учитывая возраст, обстоятельства, состояние здоровья ребенка и т.п., при наличии социально-психологической поддержки, в конфиденциальной обстановке, в результате чего он должен узнать о своем ВИЧ статусе без травматических последствий.</w:t>
      </w:r>
    </w:p>
    <w:p w14:paraId="62DDE5C7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Раскрытие статуса считается завершенным, когда ребенок получил всю информацию и усвоил ее.</w:t>
      </w:r>
    </w:p>
    <w:p w14:paraId="75C4EFB6" w14:textId="77777777" w:rsidR="00CB25B4" w:rsidRDefault="00CB25B4" w:rsidP="00CB25B4">
      <w:pPr>
        <w:autoSpaceDE w:val="0"/>
        <w:autoSpaceDN w:val="0"/>
        <w:ind w:firstLine="397"/>
        <w:jc w:val="both"/>
      </w:pPr>
      <w:r>
        <w:t>Во избежание случайного раскрытия ВИЧ-статуса, все разговоры, касающиеся его ВИЧ- положительного статуса, не могут проводиться с ребенком без предварительного обсуждения с его родителями или законными представителями.</w:t>
      </w:r>
    </w:p>
    <w:p w14:paraId="1F2D12F4" w14:textId="77777777" w:rsidR="00CB25B4" w:rsidRDefault="00CB25B4" w:rsidP="00CB25B4">
      <w:pPr>
        <w:autoSpaceDE w:val="0"/>
        <w:autoSpaceDN w:val="0"/>
        <w:ind w:firstLine="397"/>
        <w:jc w:val="both"/>
      </w:pPr>
      <w:r>
        <w:t>На каждого ребенка составляется индивидуальный план работы по раскрытию статуса и список людей, участвующих в раскрытии статуса -родителей, опекунов, близкого окружения, специалистов организаций здравоохранения, осуществляющих деятельность в сфере профилактике ВИЧ-инфекции, неправительственных организаций при необходимости.</w:t>
      </w:r>
    </w:p>
    <w:p w14:paraId="1F3CDB9B" w14:textId="77777777" w:rsidR="00CB25B4" w:rsidRDefault="00CB25B4" w:rsidP="00CB25B4">
      <w:pPr>
        <w:autoSpaceDE w:val="0"/>
        <w:autoSpaceDN w:val="0"/>
        <w:ind w:firstLine="397"/>
        <w:jc w:val="both"/>
      </w:pPr>
      <w:r>
        <w:t>Проводится комплексная оценка физического и психического здоровья ребенка, психологического климата в семье.</w:t>
      </w:r>
    </w:p>
    <w:p w14:paraId="7CC18F4A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Родителей/опекунов консультируют по преимуществам раскрытия статуса ребенка, параллельно проводиться оценка уровня знаний родителей/опекунов по вопросам ВИЧ-инфекции.</w:t>
      </w:r>
    </w:p>
    <w:p w14:paraId="28A2FCC0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Родители/опекуны могут принять следующие решения:</w:t>
      </w:r>
    </w:p>
    <w:p w14:paraId="0FC716C3" w14:textId="77777777" w:rsidR="00CB25B4" w:rsidRDefault="00CB25B4" w:rsidP="00CB25B4">
      <w:pPr>
        <w:autoSpaceDE w:val="0"/>
        <w:autoSpaceDN w:val="0"/>
        <w:ind w:firstLine="397"/>
        <w:jc w:val="both"/>
      </w:pPr>
      <w:r>
        <w:t>а) начать работу по раскрытию статуса;</w:t>
      </w:r>
    </w:p>
    <w:p w14:paraId="63C0F57A" w14:textId="77777777" w:rsidR="00CB25B4" w:rsidRDefault="00CB25B4" w:rsidP="00CB25B4">
      <w:pPr>
        <w:autoSpaceDE w:val="0"/>
        <w:autoSpaceDN w:val="0"/>
        <w:ind w:firstLine="397"/>
        <w:jc w:val="both"/>
      </w:pPr>
      <w:r>
        <w:t>б) отсрочить раскрытие статуса;</w:t>
      </w:r>
    </w:p>
    <w:p w14:paraId="7C9643D3" w14:textId="77777777" w:rsidR="00CB25B4" w:rsidRDefault="00CB25B4" w:rsidP="00CB25B4">
      <w:pPr>
        <w:autoSpaceDE w:val="0"/>
        <w:autoSpaceDN w:val="0"/>
        <w:ind w:firstLine="397"/>
        <w:jc w:val="both"/>
      </w:pPr>
      <w:r>
        <w:t>в) не раскрывать статус ребенку.</w:t>
      </w:r>
    </w:p>
    <w:p w14:paraId="2BB4F52F" w14:textId="77777777" w:rsidR="00CB25B4" w:rsidRDefault="00CB25B4" w:rsidP="00CB25B4">
      <w:pPr>
        <w:autoSpaceDE w:val="0"/>
        <w:autoSpaceDN w:val="0"/>
        <w:ind w:firstLine="397"/>
        <w:jc w:val="both"/>
      </w:pPr>
      <w:r>
        <w:t>При отрицательном ответе необходимо повторить обсуждение через некоторое время.</w:t>
      </w:r>
    </w:p>
    <w:p w14:paraId="582EC58B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Работа по раскрытию статуса может быть продолжена после получения письменного согласия родителя/опекуна.</w:t>
      </w:r>
    </w:p>
    <w:p w14:paraId="155D4B8D" w14:textId="77777777" w:rsidR="00CB25B4" w:rsidRDefault="00CB25B4" w:rsidP="00CB25B4">
      <w:pPr>
        <w:autoSpaceDE w:val="0"/>
        <w:autoSpaceDN w:val="0"/>
        <w:ind w:firstLine="397"/>
        <w:jc w:val="both"/>
      </w:pPr>
      <w:r>
        <w:t>Подготовительный этап по раскрытию статуса, направлен на родителей/опекунов, включает подготовку и обучение родителей, ребенка, создание благоприятной семейной атмосферы - семейные консультации, группы взаимопомощи для родителей.</w:t>
      </w:r>
    </w:p>
    <w:p w14:paraId="372822D6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Раскрытие ВИЧ-позитивного статуса ребенку проводится подготовленным родителем/опекуном в привычном ритме жизни, при ответах на вопросы ребенка о его здоровье. Желательно раскрытие статуса запланировать в стабильно спокойный период жизни ребенка. Раскрытие статуса может провести подготовленный специалист в присутствии родителя/опекуна в безопасном знакомом ребенку месте без присутствия посторонних лиц.</w:t>
      </w:r>
    </w:p>
    <w:p w14:paraId="19CD3194" w14:textId="77777777" w:rsidR="00CB25B4" w:rsidRDefault="00CB25B4" w:rsidP="00CB25B4">
      <w:pPr>
        <w:autoSpaceDE w:val="0"/>
        <w:autoSpaceDN w:val="0"/>
        <w:ind w:firstLine="397"/>
        <w:jc w:val="both"/>
      </w:pPr>
      <w:r>
        <w:lastRenderedPageBreak/>
        <w:t>Последующее психологическое сопровождение ребенка и семьи специалистами проводиться как индивидуальная работа с ребенком и его родителями/опекунами, так и групповая. Для родителей/опекунов группы взаимопомощи, для детей творческие кружки, где ребенок может самовыразиться, свободно говорить о диагнозе. Необходимо предоставление ребенку полной информации о болезни, лечении и формирование положительной позиции. Психологическая поддержка сопровождение после раскрытия статуса рекомендуется в течение не менее 12 месяцев. Основные признаки успешности раскрытия ребенку его ВИЧ статуса:</w:t>
      </w:r>
    </w:p>
    <w:p w14:paraId="6FF3B954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ребенок может правильно объяснить специалистам, для чего он принимает АРВ - терапию;</w:t>
      </w:r>
    </w:p>
    <w:p w14:paraId="7419BF0D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знает и понимает назначение АРВ - терапии, имеет мотивацию и приверженность к ее приему;</w:t>
      </w:r>
    </w:p>
    <w:p w14:paraId="1AC35986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имеет устойчивые реакции на конфликтные ситуации и проявления стигмы и дискриминации, связанные с его ВИЧ-статусом, может воздержаться от драки, ссоры или обиды;</w:t>
      </w:r>
    </w:p>
    <w:p w14:paraId="534E30A3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знает пути передачи ВИЧ и осознает личную ответственность, в соответствии со своим возрастом.</w:t>
      </w:r>
    </w:p>
    <w:p w14:paraId="79ACB793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Психосоциальная поддержка детей, подростков и семей, живущих с ВИЧ, представлены в </w:t>
      </w:r>
      <w:hyperlink r:id="rId16" w:anchor="sub_id=4" w:history="1">
        <w:r>
          <w:rPr>
            <w:rStyle w:val="a3"/>
          </w:rPr>
          <w:t>приложении 4</w:t>
        </w:r>
      </w:hyperlink>
      <w:r>
        <w:t xml:space="preserve"> к Протоколу.</w:t>
      </w:r>
    </w:p>
    <w:p w14:paraId="720B84D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3.6 Индикаторы эффективности лечения:</w:t>
      </w:r>
    </w:p>
    <w:p w14:paraId="3EF4822D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4532D03D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Критерии эффективности лечения: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177"/>
        <w:gridCol w:w="1177"/>
        <w:gridCol w:w="2342"/>
        <w:gridCol w:w="1677"/>
        <w:gridCol w:w="2329"/>
      </w:tblGrid>
      <w:tr w:rsidR="00CB25B4" w14:paraId="38BD8679" w14:textId="77777777" w:rsidTr="00CB25B4"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E1CE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6CEA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Вирусологические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FA2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Иммунологические</w:t>
            </w:r>
          </w:p>
        </w:tc>
        <w:tc>
          <w:tcPr>
            <w:tcW w:w="1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81A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Клинические</w:t>
            </w:r>
          </w:p>
        </w:tc>
      </w:tr>
      <w:tr w:rsidR="00CB25B4" w14:paraId="483C3905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A4E3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8138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Вирусная нагрузка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F246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 xml:space="preserve">Число </w:t>
            </w:r>
            <w:r>
              <w:rPr>
                <w:b/>
                <w:bCs/>
                <w:lang w:val="en-US"/>
              </w:rPr>
              <w:t>CD4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325C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Клиническая стадия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CAF1" w14:textId="77777777" w:rsidR="00CB25B4" w:rsidRDefault="00CB25B4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Переносимость</w:t>
            </w:r>
          </w:p>
        </w:tc>
      </w:tr>
      <w:tr w:rsidR="00CB25B4" w14:paraId="720B4F91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5AD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Сроки </w:t>
            </w:r>
            <w:r>
              <w:rPr>
                <w:vertAlign w:val="superscript"/>
              </w:rPr>
              <w:t>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DFA0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24 недели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2F6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48 недель и далее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15EE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24-48 недель и далее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3F01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Через 12 недель после начала </w:t>
            </w:r>
            <w:r>
              <w:rPr>
                <w:lang w:val="en-US"/>
              </w:rPr>
              <w:t>APT</w:t>
            </w:r>
            <w:r>
              <w:t xml:space="preserve"> клинические проявления должны отсутствовать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C070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Постоянная оценка</w:t>
            </w:r>
          </w:p>
        </w:tc>
      </w:tr>
      <w:tr w:rsidR="00CB25B4" w14:paraId="34B50896" w14:textId="77777777" w:rsidTr="00CB25B4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676F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 xml:space="preserve">Цель </w:t>
            </w:r>
            <w:r>
              <w:rPr>
                <w:vertAlign w:val="superscript"/>
              </w:rPr>
              <w:t>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ED9B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&lt;50 копий/мл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3CCF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&lt;50 копий/мл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A172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Повышение от исходного уровня как минимум на 50клеток/мкл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80DD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Стадия 1 или 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47DF" w14:textId="77777777" w:rsidR="00CB25B4" w:rsidRDefault="00CB25B4" w:rsidP="00FF409B">
            <w:pPr>
              <w:autoSpaceDE w:val="0"/>
              <w:autoSpaceDN w:val="0"/>
              <w:jc w:val="both"/>
            </w:pPr>
            <w:r>
              <w:t>Через 3 месяца после начала приема АРВ - препарата клинически проявляющиеся побочные эффекты должны отсутствовать (а также субклинические, которые со временем могут проявиться клинически)</w:t>
            </w:r>
          </w:p>
        </w:tc>
      </w:tr>
    </w:tbl>
    <w:p w14:paraId="291F8A13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vertAlign w:val="superscript"/>
        </w:rPr>
        <w:t>а</w:t>
      </w:r>
      <w:r>
        <w:t xml:space="preserve"> Время оценки после начала </w:t>
      </w:r>
      <w:r>
        <w:rPr>
          <w:lang w:val="en-US"/>
        </w:rPr>
        <w:t>APT</w:t>
      </w:r>
      <w:r w:rsidRPr="004121A6">
        <w:t xml:space="preserve"> </w:t>
      </w:r>
      <w:r>
        <w:t>указано приблизительно.</w:t>
      </w:r>
    </w:p>
    <w:p w14:paraId="3A00BAF7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vertAlign w:val="superscript"/>
        </w:rPr>
        <w:t>б</w:t>
      </w:r>
      <w:r>
        <w:t xml:space="preserve"> Вирусная нагрузка уменьшается постепенно: у большинства пациентов (за исключением имеющих изначально высокую вирусную нагрузку) через 24 недели </w:t>
      </w:r>
      <w:r>
        <w:rPr>
          <w:lang w:val="en-US"/>
        </w:rPr>
        <w:t>APT</w:t>
      </w:r>
      <w:r>
        <w:t xml:space="preserve"> она должна быть &lt;50 копий/мл либо демонстрировать выраженную тенденцию снижения до этого уровня.</w:t>
      </w:r>
    </w:p>
    <w:p w14:paraId="49117B2F" w14:textId="77777777" w:rsidR="00CB25B4" w:rsidRDefault="00CB25B4" w:rsidP="00CB25B4">
      <w:pPr>
        <w:autoSpaceDE w:val="0"/>
        <w:autoSpaceDN w:val="0"/>
        <w:ind w:firstLine="397"/>
        <w:jc w:val="both"/>
      </w:pPr>
      <w:r>
        <w:t> </w:t>
      </w:r>
    </w:p>
    <w:p w14:paraId="3EAF91A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Расхождение между вирусологическим и иммунологическим ответом:</w:t>
      </w:r>
    </w:p>
    <w:p w14:paraId="70740D8F" w14:textId="77777777" w:rsidR="00CB25B4" w:rsidRDefault="00CB25B4" w:rsidP="00CB25B4">
      <w:pPr>
        <w:autoSpaceDE w:val="0"/>
        <w:autoSpaceDN w:val="0"/>
        <w:ind w:firstLine="397"/>
        <w:jc w:val="both"/>
      </w:pPr>
      <w:r>
        <w:t>При расхождении между вирусологическими и иммунологическими показателями, приоритет за вирусологическими.</w:t>
      </w:r>
    </w:p>
    <w:p w14:paraId="2F3908E2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Лабораторный мониторинг:</w:t>
      </w:r>
    </w:p>
    <w:p w14:paraId="3A16892A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Число лимфоцитов СД4 необходимо определять каждые 3 месяца, по стабилизации СД4 лимфоцитов на фоне </w:t>
      </w:r>
      <w:r>
        <w:rPr>
          <w:lang w:val="en-US"/>
        </w:rPr>
        <w:t>APT</w:t>
      </w:r>
      <w:r>
        <w:t xml:space="preserve"> - 1 раз в 6 месяцев.</w:t>
      </w:r>
    </w:p>
    <w:p w14:paraId="0D98D98B" w14:textId="77777777" w:rsidR="00CB25B4" w:rsidRDefault="00CB25B4" w:rsidP="00CB25B4">
      <w:pPr>
        <w:autoSpaceDE w:val="0"/>
        <w:autoSpaceDN w:val="0"/>
        <w:ind w:firstLine="397"/>
        <w:jc w:val="both"/>
      </w:pPr>
      <w:r>
        <w:lastRenderedPageBreak/>
        <w:t xml:space="preserve">Цель </w:t>
      </w:r>
      <w:r>
        <w:rPr>
          <w:lang w:val="en-US"/>
        </w:rPr>
        <w:t>APT</w:t>
      </w:r>
      <w:r>
        <w:t xml:space="preserve"> - снижение ВН до неопределяемого уровня (пороговый уровень эффективности АРТ &lt;50 копий РНК ВИЧ в 1 мл плазмы). ВН определяют перед началом </w:t>
      </w:r>
      <w:r>
        <w:rPr>
          <w:lang w:val="en-US"/>
        </w:rPr>
        <w:t>APT</w:t>
      </w:r>
      <w:r>
        <w:t>, далее через 3 месяца после начала лечения, при устойчивом вирусологическом ответе кратность обследования 1 раз в 6 месяцев.</w:t>
      </w:r>
    </w:p>
    <w:p w14:paraId="3BDE4F56" w14:textId="77777777" w:rsidR="00CB25B4" w:rsidRDefault="00CB25B4" w:rsidP="00CB25B4">
      <w:pPr>
        <w:autoSpaceDE w:val="0"/>
        <w:autoSpaceDN w:val="0"/>
        <w:ind w:firstLine="397"/>
        <w:jc w:val="both"/>
      </w:pPr>
      <w:r>
        <w:t>В дальнейшем, по данным двух последовательных измерений ВН в течении 3 месяцев после последнего теста ВН с результатом &lt;50 копий РНК ВИЧ в 1 мл плазмы результаты:</w:t>
      </w:r>
    </w:p>
    <w:p w14:paraId="5A9665AA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при показателях ВН до 199 коп/мл - развитие резистентности маловероятно.</w:t>
      </w:r>
    </w:p>
    <w:p w14:paraId="56C71947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при показателях ВН от 200 до 400 коп/мл - развитие резистентности возможно, необходимо усилить работу по соблюдению приверженности к </w:t>
      </w:r>
      <w:r>
        <w:rPr>
          <w:lang w:val="en-US"/>
        </w:rPr>
        <w:t>APT</w:t>
      </w:r>
      <w:r>
        <w:t>.</w:t>
      </w:r>
    </w:p>
    <w:p w14:paraId="2F218F90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при показателях ВН 500 коп/мл и выше - высокий риск развития резистентности к получаемой </w:t>
      </w:r>
      <w:r>
        <w:rPr>
          <w:lang w:val="en-US"/>
        </w:rPr>
        <w:t>APT</w:t>
      </w:r>
      <w:r>
        <w:t>.</w:t>
      </w:r>
    </w:p>
    <w:p w14:paraId="358D47D4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4. Показания для госпитализации с указанием типа госпитализации:</w:t>
      </w:r>
    </w:p>
    <w:p w14:paraId="0809528E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4.1 Показания для плановой госпитализации:</w:t>
      </w:r>
      <w:r>
        <w:t xml:space="preserve"> нет.</w:t>
      </w:r>
    </w:p>
    <w:p w14:paraId="68B0D073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4.2 Показания для экстренной госпитализации:</w:t>
      </w:r>
    </w:p>
    <w:p w14:paraId="6239B4D3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тяжелое течение оппортунистических, других вторичных и сопутствующих заболеваний;</w:t>
      </w:r>
    </w:p>
    <w:p w14:paraId="5ADAF5D1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синдром иммунной реконституции (воспалительный синдром восстановления иммунитета);</w:t>
      </w:r>
    </w:p>
    <w:p w14:paraId="1D1533BC" w14:textId="77777777" w:rsidR="00CB25B4" w:rsidRDefault="00CB25B4" w:rsidP="00CB25B4">
      <w:pPr>
        <w:autoSpaceDE w:val="0"/>
        <w:autoSpaceDN w:val="0"/>
        <w:ind w:firstLine="397"/>
        <w:jc w:val="both"/>
      </w:pPr>
      <w:r>
        <w:t>- нежелательные явления на прием АРВ препаратов, 3, 4 степени тяжести:</w:t>
      </w:r>
    </w:p>
    <w:p w14:paraId="516E80D9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</w:t>
      </w:r>
      <w:r>
        <w:rPr>
          <w:lang w:val="en-US"/>
        </w:rPr>
        <w:t>III</w:t>
      </w:r>
      <w:r>
        <w:t xml:space="preserve"> степень (тяжелая) - повседневная жизнь существенно нарушена, часто требуется дополнительная помощь близких, медицинская помощь и лечение, возможно в стационаре;</w:t>
      </w:r>
    </w:p>
    <w:p w14:paraId="1751DE99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</w:t>
      </w:r>
      <w:r>
        <w:rPr>
          <w:lang w:val="en-US"/>
        </w:rPr>
        <w:t>IV</w:t>
      </w:r>
      <w:r>
        <w:t xml:space="preserve"> степень (крайне тяжелая, жизнеугрожающая) - нормальная повседневная жизнь невозможна, требуется постоянная помощь посторонних, серьезное лечение, чаще всего в стационаре.</w:t>
      </w:r>
    </w:p>
    <w:p w14:paraId="3AD55E49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5. Тактика лечения на стационарном уровне: </w:t>
      </w:r>
    </w:p>
    <w:p w14:paraId="268EF408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Тактика лечения:</w:t>
      </w:r>
    </w:p>
    <w:p w14:paraId="5534A4C1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тяжелые состояния на 3-4 стадии ВИЧ-инфекции;</w:t>
      </w:r>
    </w:p>
    <w:p w14:paraId="5FA175C0" w14:textId="77777777" w:rsidR="00CB25B4" w:rsidRDefault="00CB25B4" w:rsidP="00CB25B4">
      <w:pPr>
        <w:autoSpaceDE w:val="0"/>
        <w:autoSpaceDN w:val="0"/>
        <w:ind w:firstLine="397"/>
        <w:jc w:val="both"/>
      </w:pPr>
      <w:r>
        <w:t>- тяжелые состояния при сочетанных вторичных заболеваниях по профилю нозологии.</w:t>
      </w:r>
    </w:p>
    <w:p w14:paraId="502F2755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5.1 Карта наблюдения пациента, маршрутизация пациента:</w:t>
      </w:r>
      <w:r>
        <w:t xml:space="preserve"> по профилю нозологии.</w:t>
      </w:r>
    </w:p>
    <w:p w14:paraId="3C04C6E3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5.2 Немедикаментозное лечение:</w:t>
      </w:r>
    </w:p>
    <w:p w14:paraId="1E4ED898" w14:textId="77777777" w:rsidR="00CB25B4" w:rsidRDefault="00CB25B4" w:rsidP="00CB25B4">
      <w:pPr>
        <w:autoSpaceDE w:val="0"/>
        <w:autoSpaceDN w:val="0"/>
        <w:ind w:firstLine="397"/>
        <w:jc w:val="both"/>
      </w:pPr>
      <w:r>
        <w:t>Режим и диета при ВИЧ-инфекции зависит от поражения отдельных систем и органов.</w:t>
      </w:r>
    </w:p>
    <w:p w14:paraId="51D808CC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5.3 Медикаментозное лечение, оказываемое на стационарном уровне:</w:t>
      </w:r>
    </w:p>
    <w:p w14:paraId="67D6622F" w14:textId="77777777" w:rsidR="00CB25B4" w:rsidRDefault="00CB25B4" w:rsidP="00CB25B4">
      <w:pPr>
        <w:autoSpaceDE w:val="0"/>
        <w:autoSpaceDN w:val="0"/>
        <w:ind w:firstLine="397"/>
        <w:jc w:val="both"/>
      </w:pPr>
      <w:r>
        <w:t>В зависимости от нозологии заболевания и формы оказания медицинской помощи.</w:t>
      </w:r>
    </w:p>
    <w:p w14:paraId="26818A61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- в отношении лечения ВИЧ-инфекции основные лекарственные средства, имеющие 100% вероятность применения: смотреть </w:t>
      </w:r>
      <w:hyperlink r:id="rId17" w:anchor="sub_id=32" w:history="1">
        <w:r>
          <w:rPr>
            <w:rStyle w:val="a3"/>
          </w:rPr>
          <w:t>подпункт 3.2</w:t>
        </w:r>
      </w:hyperlink>
      <w:r>
        <w:t>.</w:t>
      </w:r>
    </w:p>
    <w:p w14:paraId="52A674E4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5.4 Хирургическое вмешательство:</w:t>
      </w:r>
      <w:r>
        <w:t xml:space="preserve"> нет.</w:t>
      </w:r>
    </w:p>
    <w:p w14:paraId="56DF3DDF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5.5 Дальнейшее ведение:</w:t>
      </w:r>
      <w:r>
        <w:t xml:space="preserve"> в зависимости от нозологии заболевания и формы оказания медицинской помощи.</w:t>
      </w:r>
    </w:p>
    <w:p w14:paraId="4D557531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5.6 Индикаторы эффективности лечения:</w:t>
      </w:r>
      <w:r>
        <w:t xml:space="preserve"> в зависимости от нозологии заболевания и формы оказания медицинской помощи, в отношении ВИЧ-инфекции смотреть </w:t>
      </w:r>
      <w:hyperlink r:id="rId18" w:anchor="sub_id=36" w:history="1">
        <w:r>
          <w:rPr>
            <w:rStyle w:val="a3"/>
          </w:rPr>
          <w:t>пункт 3, подпункт 3.6</w:t>
        </w:r>
      </w:hyperlink>
      <w:r>
        <w:t>.</w:t>
      </w:r>
    </w:p>
    <w:p w14:paraId="627DC931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6. Организационные аспекты протокола: </w:t>
      </w:r>
    </w:p>
    <w:p w14:paraId="0E9C4854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6.1 Список разработчиков протокола:</w:t>
      </w:r>
    </w:p>
    <w:p w14:paraId="441825D6" w14:textId="25748350" w:rsidR="00CB25B4" w:rsidRDefault="00CB25B4" w:rsidP="00CC1EC9">
      <w:pPr>
        <w:autoSpaceDE w:val="0"/>
        <w:autoSpaceDN w:val="0"/>
        <w:ind w:firstLine="397"/>
        <w:jc w:val="both"/>
      </w:pPr>
      <w:r>
        <w:t>1)Абишев Асылхан Туреханович - кандидат медицинских наук, РГП на ПХВ «Казахский научный центр дерматологии и инфекционных заболеваний» МЗ РК, директора.</w:t>
      </w:r>
    </w:p>
    <w:p w14:paraId="6D705CA7" w14:textId="48FDC433" w:rsidR="00CB25B4" w:rsidRDefault="00CC1EC9" w:rsidP="00CB25B4">
      <w:pPr>
        <w:autoSpaceDE w:val="0"/>
        <w:autoSpaceDN w:val="0"/>
        <w:ind w:firstLine="397"/>
        <w:jc w:val="both"/>
      </w:pPr>
      <w:r>
        <w:t>2</w:t>
      </w:r>
      <w:r w:rsidR="00CB25B4">
        <w:t>) Касымбекова Сайранкуль Жузбаевна - РГП на ПХВ «Казахский научный центр дерматологии и инфекционных заболеваний» МЗ РК, заведующая отделом клинического мониторинга.</w:t>
      </w:r>
    </w:p>
    <w:p w14:paraId="0A9F71AD" w14:textId="631AE2DD" w:rsidR="00CB25B4" w:rsidRDefault="00CC1EC9" w:rsidP="00CB25B4">
      <w:pPr>
        <w:autoSpaceDE w:val="0"/>
        <w:autoSpaceDN w:val="0"/>
        <w:ind w:firstLine="397"/>
        <w:jc w:val="both"/>
      </w:pPr>
      <w:r>
        <w:t>3</w:t>
      </w:r>
      <w:r w:rsidR="00CB25B4">
        <w:t>) Тажибаева Галия Хаджимуратовна - РГП на ПХВ «Казахский научный центр дерматологии и инфекционных заболеваний» МЗ РК, руководитель диагностической лаборатории.</w:t>
      </w:r>
    </w:p>
    <w:p w14:paraId="21D8A8D4" w14:textId="1725094C" w:rsidR="00CB25B4" w:rsidRDefault="00CC1EC9" w:rsidP="00CB25B4">
      <w:pPr>
        <w:autoSpaceDE w:val="0"/>
        <w:autoSpaceDN w:val="0"/>
        <w:ind w:firstLine="397"/>
        <w:jc w:val="both"/>
      </w:pPr>
      <w:r w:rsidRPr="000C67FD">
        <w:t>4</w:t>
      </w:r>
      <w:r w:rsidR="00CB25B4" w:rsidRPr="000C67FD">
        <w:t>) Ахметова Гулжахан Мажитовна - кандидат медицинских наук, РГП на ПХВ «Казахский научный центр дерматологии и инфекционных заболеваний» МЗ РК, специалист отдела клинического мониторинга</w:t>
      </w:r>
      <w:r w:rsidR="00CB25B4" w:rsidRPr="00CC1EC9">
        <w:rPr>
          <w:highlight w:val="yellow"/>
        </w:rPr>
        <w:t>.</w:t>
      </w:r>
    </w:p>
    <w:p w14:paraId="0FD1A296" w14:textId="41554544" w:rsidR="00CB25B4" w:rsidRDefault="00CC1EC9" w:rsidP="00CB25B4">
      <w:pPr>
        <w:autoSpaceDE w:val="0"/>
        <w:autoSpaceDN w:val="0"/>
        <w:ind w:firstLine="397"/>
        <w:jc w:val="both"/>
      </w:pPr>
      <w:r>
        <w:t>5</w:t>
      </w:r>
      <w:r w:rsidR="00CB25B4">
        <w:t>) Шакенов Бакытжан Шериевич - главный врач реабилитационного центра «Мать и дитя».</w:t>
      </w:r>
    </w:p>
    <w:p w14:paraId="78571899" w14:textId="1ACEF5EE" w:rsidR="00CB25B4" w:rsidRDefault="00CC1EC9" w:rsidP="00CB25B4">
      <w:pPr>
        <w:autoSpaceDE w:val="0"/>
        <w:autoSpaceDN w:val="0"/>
        <w:ind w:firstLine="397"/>
        <w:jc w:val="both"/>
      </w:pPr>
      <w:r>
        <w:t>6</w:t>
      </w:r>
      <w:r w:rsidR="00CB25B4">
        <w:t>) Кужелева Алевтина Александровна - заместитель главного врача реабилитационного центра «Мать и дитя».</w:t>
      </w:r>
    </w:p>
    <w:p w14:paraId="4057AA0E" w14:textId="4D881C7F" w:rsidR="00CB25B4" w:rsidRDefault="00CC1EC9" w:rsidP="00CB25B4">
      <w:pPr>
        <w:autoSpaceDE w:val="0"/>
        <w:autoSpaceDN w:val="0"/>
        <w:ind w:firstLine="397"/>
        <w:jc w:val="both"/>
      </w:pPr>
      <w:r>
        <w:lastRenderedPageBreak/>
        <w:t>7</w:t>
      </w:r>
      <w:r w:rsidR="00CB25B4">
        <w:t>) Жанжигитова Капиза Жандарбековна - магистр медицинских наук, НУО «Казахстанско-Российский медицинский университет» ассистент кафедры внутренних болезней с курсом клинической фармакологии, клинический фармаколог.</w:t>
      </w:r>
    </w:p>
    <w:p w14:paraId="7E23BA51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6.2 Указание на отсутствие конфликта интересов:</w:t>
      </w:r>
      <w:r>
        <w:t xml:space="preserve"> отсутствует.</w:t>
      </w:r>
    </w:p>
    <w:p w14:paraId="3BAFB075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6.3 Рецензенты:</w:t>
      </w:r>
    </w:p>
    <w:p w14:paraId="5E115C3B" w14:textId="77777777" w:rsidR="00CB25B4" w:rsidRDefault="00CB25B4" w:rsidP="00CB25B4">
      <w:pPr>
        <w:autoSpaceDE w:val="0"/>
        <w:autoSpaceDN w:val="0"/>
        <w:ind w:firstLine="397"/>
        <w:jc w:val="both"/>
      </w:pPr>
      <w:r>
        <w:t>1) Доскожаева Сауле Темирбулатовна - доктор медицинских наук, профессор АО «Казахский медицинский университет непрерывного образования» проректор по учебной работе, заведующая кафедрой инфекционных болезней.</w:t>
      </w:r>
    </w:p>
    <w:p w14:paraId="5B0C3A91" w14:textId="77777777" w:rsidR="00CB25B4" w:rsidRDefault="00CB25B4" w:rsidP="00CB25B4">
      <w:pPr>
        <w:autoSpaceDE w:val="0"/>
        <w:autoSpaceDN w:val="0"/>
        <w:ind w:firstLine="397"/>
        <w:jc w:val="both"/>
      </w:pPr>
      <w:r>
        <w:t>2) Петренко Ирина Ивановна - Председатель ОЮЛ «Ассоциация общественного здоровья».</w:t>
      </w:r>
    </w:p>
    <w:p w14:paraId="7F2FC588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6.4 Условия пересмотра протокола:</w:t>
      </w:r>
      <w:r>
        <w:t xml:space="preserve">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66B9F215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0688FD41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6.5 Список использованной литературы:</w:t>
      </w:r>
    </w:p>
    <w:p w14:paraId="5068501F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4CD6A73A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1) </w:t>
      </w:r>
      <w:hyperlink r:id="rId19" w:history="1">
        <w:r>
          <w:rPr>
            <w:rStyle w:val="a3"/>
          </w:rPr>
          <w:t>Приказ</w:t>
        </w:r>
      </w:hyperlink>
      <w:r>
        <w:t xml:space="preserve"> и.о. Министра здравоохранения Республики Казахстан от 27 марта 2018 года № 126 Об утверждении Санитарных правил «Санитарно -эпидемиологические требования к организации и проведению санитарно -противоэпидемических, санитарно - профилактических мероприятий по предупреждению инфекционных заболеваний» (зарегистрирован в Министерстве юстиции Республики Казахстан 23 апреля 2018 года № 16793).</w:t>
      </w:r>
    </w:p>
    <w:p w14:paraId="61DA4079" w14:textId="77777777" w:rsidR="00CB25B4" w:rsidRDefault="00CB25B4" w:rsidP="00CB25B4">
      <w:pPr>
        <w:autoSpaceDE w:val="0"/>
        <w:autoSpaceDN w:val="0"/>
        <w:ind w:firstLine="397"/>
        <w:jc w:val="both"/>
      </w:pPr>
      <w:r w:rsidRPr="00F67E03">
        <w:rPr>
          <w:lang w:val="en-US"/>
        </w:rPr>
        <w:t xml:space="preserve">2) </w:t>
      </w:r>
      <w:r>
        <w:rPr>
          <w:lang w:val="en-US"/>
        </w:rPr>
        <w:t>European</w:t>
      </w:r>
      <w:r w:rsidRPr="00F67E03">
        <w:rPr>
          <w:lang w:val="en-US"/>
        </w:rPr>
        <w:t xml:space="preserve"> </w:t>
      </w:r>
      <w:r>
        <w:rPr>
          <w:lang w:val="en-US"/>
        </w:rPr>
        <w:t>AIDS</w:t>
      </w:r>
      <w:r w:rsidRPr="00F67E03">
        <w:rPr>
          <w:lang w:val="en-US"/>
        </w:rPr>
        <w:t xml:space="preserve"> </w:t>
      </w:r>
      <w:r>
        <w:rPr>
          <w:lang w:val="en-US"/>
        </w:rPr>
        <w:t>Cinical</w:t>
      </w:r>
      <w:r w:rsidRPr="00F67E03">
        <w:rPr>
          <w:lang w:val="en-US"/>
        </w:rPr>
        <w:t xml:space="preserve"> </w:t>
      </w:r>
      <w:r>
        <w:rPr>
          <w:lang w:val="en-US"/>
        </w:rPr>
        <w:t>Society</w:t>
      </w:r>
      <w:r w:rsidRPr="00F67E03">
        <w:rPr>
          <w:lang w:val="en-US"/>
        </w:rPr>
        <w:t xml:space="preserve"> (</w:t>
      </w:r>
      <w:r>
        <w:rPr>
          <w:lang w:val="en-US"/>
        </w:rPr>
        <w:t>EACS</w:t>
      </w:r>
      <w:r w:rsidRPr="00F67E03">
        <w:rPr>
          <w:lang w:val="en-US"/>
        </w:rPr>
        <w:t xml:space="preserve">*) </w:t>
      </w:r>
      <w:r>
        <w:rPr>
          <w:lang w:val="en-US"/>
        </w:rPr>
        <w:t>Guidelines</w:t>
      </w:r>
      <w:r w:rsidRPr="00F67E03">
        <w:rPr>
          <w:lang w:val="en-US"/>
        </w:rPr>
        <w:t xml:space="preserve">. </w:t>
      </w:r>
      <w:r>
        <w:rPr>
          <w:lang w:val="en-US"/>
        </w:rPr>
        <w:t>Version</w:t>
      </w:r>
      <w:r w:rsidRPr="00CB25B4">
        <w:t xml:space="preserve"> 11.0. </w:t>
      </w:r>
      <w:r>
        <w:t>2021.</w:t>
      </w:r>
    </w:p>
    <w:p w14:paraId="0CE84B16" w14:textId="77777777" w:rsidR="00CB25B4" w:rsidRDefault="00CB25B4" w:rsidP="00CB25B4">
      <w:pPr>
        <w:autoSpaceDE w:val="0"/>
        <w:autoSpaceDN w:val="0"/>
        <w:ind w:firstLine="397"/>
        <w:jc w:val="both"/>
      </w:pPr>
      <w:r>
        <w:t>3) Сводное руководство по профилактики ВИЧ, тестированию, лечению, с позиций общественного здравоохранения. ВОЗ</w:t>
      </w:r>
      <w:r w:rsidRPr="00A635A0">
        <w:t xml:space="preserve"> </w:t>
      </w:r>
      <w:r>
        <w:t xml:space="preserve">июль </w:t>
      </w:r>
      <w:r w:rsidRPr="00A635A0">
        <w:t>20</w:t>
      </w:r>
      <w:r>
        <w:t>21.</w:t>
      </w:r>
    </w:p>
    <w:p w14:paraId="46953866" w14:textId="77777777" w:rsidR="00CB25B4" w:rsidRPr="00CB25B4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>
        <w:t>4) Сводное руководство по использованию антиретровирусных препаратов для лечения и профилактики ВИЧ-инфекции: рекомендации с позиций общественного здравоохранения. ВОЗ</w:t>
      </w:r>
      <w:r w:rsidRPr="00CB25B4">
        <w:rPr>
          <w:lang w:val="en-US"/>
        </w:rPr>
        <w:t xml:space="preserve"> 2016.</w:t>
      </w:r>
    </w:p>
    <w:p w14:paraId="65A17DBD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>5</w:t>
      </w:r>
      <w:r>
        <w:rPr>
          <w:lang w:val="en-US"/>
        </w:rPr>
        <w:t>) PENTA HIV first and second line antiretroviral treatment guidelines, 2019.</w:t>
      </w:r>
    </w:p>
    <w:p w14:paraId="7F61AFF2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>6</w:t>
      </w:r>
      <w:r>
        <w:rPr>
          <w:lang w:val="en-US"/>
        </w:rPr>
        <w:t>) Guidelines for the Use of Antiretroviral Agents in Pediatric HIV Infection Last updated September 12, 2019.</w:t>
      </w:r>
    </w:p>
    <w:p w14:paraId="61A7D385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>7</w:t>
      </w:r>
      <w:r>
        <w:rPr>
          <w:lang w:val="en-US"/>
        </w:rPr>
        <w:t>) Update of recommendations on first- and second-line antiretroviral regimens. Geneva, Switzerland: World Health Organization; 2019 (WHO/CDS/HIV/19.15).</w:t>
      </w:r>
    </w:p>
    <w:p w14:paraId="7E6A71D9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>8</w:t>
      </w:r>
      <w:r>
        <w:rPr>
          <w:lang w:val="en-US"/>
        </w:rPr>
        <w:t>) Guidelines for the use of antiretroviral agents in HIV-1-infected adults and adolescents. DHHS, 2019.</w:t>
      </w:r>
    </w:p>
    <w:p w14:paraId="549E9E8C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>9</w:t>
      </w:r>
      <w:r>
        <w:rPr>
          <w:lang w:val="en-US"/>
        </w:rPr>
        <w:t>) Updated recommendations on first line and second-line antiretroviral regimens and post-exposure prophylaxis and recommendations on early infant diagnosis of HIV. Supplement to the 2016.</w:t>
      </w:r>
    </w:p>
    <w:p w14:paraId="64353F7E" w14:textId="77777777" w:rsidR="00CB25B4" w:rsidRDefault="00CB25B4" w:rsidP="00CB25B4">
      <w:pPr>
        <w:autoSpaceDE w:val="0"/>
        <w:autoSpaceDN w:val="0"/>
        <w:ind w:firstLine="397"/>
        <w:jc w:val="both"/>
      </w:pPr>
      <w:r w:rsidRPr="00242A7B">
        <w:rPr>
          <w:lang w:val="en-US"/>
        </w:rPr>
        <w:t>10</w:t>
      </w:r>
      <w:r>
        <w:rPr>
          <w:lang w:val="en-US"/>
        </w:rPr>
        <w:t>) Consolidated guidelines on the use of antiretroviral drugs for treating and preventing HIV infection. December</w:t>
      </w:r>
      <w:r>
        <w:t xml:space="preserve"> 2018.</w:t>
      </w:r>
    </w:p>
    <w:p w14:paraId="69D1AE6C" w14:textId="77777777" w:rsidR="00CB25B4" w:rsidRPr="00CB25B4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>
        <w:t>11) Руководство по оказанию помощи и лечению при хронической инфекции, вызванной вирусом гепатита С. ВОЗ. Июль</w:t>
      </w:r>
      <w:r w:rsidRPr="00CB25B4">
        <w:rPr>
          <w:lang w:val="en-US"/>
        </w:rPr>
        <w:t xml:space="preserve"> 2018 </w:t>
      </w:r>
      <w:r>
        <w:t>г</w:t>
      </w:r>
      <w:r w:rsidRPr="00CB25B4">
        <w:rPr>
          <w:lang w:val="en-US"/>
        </w:rPr>
        <w:t>.</w:t>
      </w:r>
    </w:p>
    <w:p w14:paraId="2C1D436C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 w:rsidRPr="00242A7B">
        <w:rPr>
          <w:lang w:val="en-US"/>
        </w:rPr>
        <w:t xml:space="preserve">12) </w:t>
      </w:r>
      <w:r>
        <w:rPr>
          <w:lang w:val="en-US"/>
        </w:rPr>
        <w:t>British HIV Association guidelines for the treatment of HIV-1-positive adults with antiretroviral therapy, August 2016, British HIV Association, HIV Medicine (2016), 1-104.</w:t>
      </w:r>
    </w:p>
    <w:p w14:paraId="79B04612" w14:textId="77777777" w:rsidR="00CB25B4" w:rsidRPr="004121A6" w:rsidRDefault="00CB25B4" w:rsidP="00CB25B4">
      <w:pPr>
        <w:autoSpaceDE w:val="0"/>
        <w:autoSpaceDN w:val="0"/>
        <w:ind w:firstLine="397"/>
        <w:jc w:val="both"/>
        <w:rPr>
          <w:lang w:val="en-US"/>
        </w:rPr>
      </w:pPr>
      <w:r>
        <w:rPr>
          <w:lang w:val="en-US"/>
        </w:rPr>
        <w:t>1</w:t>
      </w:r>
      <w:r w:rsidRPr="00242A7B">
        <w:rPr>
          <w:lang w:val="en-US"/>
        </w:rPr>
        <w:t>3</w:t>
      </w:r>
      <w:r>
        <w:rPr>
          <w:lang w:val="en-US"/>
        </w:rPr>
        <w:t xml:space="preserve">) </w:t>
      </w:r>
      <w:r>
        <w:t>ВИЧ</w:t>
      </w:r>
      <w:r>
        <w:rPr>
          <w:lang w:val="en-US"/>
        </w:rPr>
        <w:t xml:space="preserve"> 2014/2015 </w:t>
      </w:r>
      <w:r>
        <w:t>под</w:t>
      </w:r>
      <w:r w:rsidRPr="004121A6">
        <w:rPr>
          <w:lang w:val="en-US"/>
        </w:rPr>
        <w:t xml:space="preserve"> </w:t>
      </w:r>
      <w:r>
        <w:t>редакцией</w:t>
      </w:r>
      <w:r w:rsidRPr="004121A6">
        <w:rPr>
          <w:lang w:val="en-US"/>
        </w:rPr>
        <w:t xml:space="preserve"> </w:t>
      </w:r>
      <w:r>
        <w:t>Кристиана</w:t>
      </w:r>
      <w:r w:rsidRPr="004121A6">
        <w:rPr>
          <w:lang w:val="en-US"/>
        </w:rPr>
        <w:t xml:space="preserve"> </w:t>
      </w:r>
      <w:r>
        <w:t>Хоффмана</w:t>
      </w:r>
      <w:r>
        <w:rPr>
          <w:lang w:val="en-US"/>
        </w:rPr>
        <w:t xml:space="preserve"> (Christian Hoffmann) </w:t>
      </w:r>
      <w:r>
        <w:t>и</w:t>
      </w:r>
      <w:r w:rsidRPr="004121A6">
        <w:rPr>
          <w:lang w:val="en-US"/>
        </w:rPr>
        <w:t xml:space="preserve"> </w:t>
      </w:r>
      <w:r>
        <w:t>Юргена</w:t>
      </w:r>
      <w:r w:rsidRPr="004121A6"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. </w:t>
      </w:r>
      <w:r>
        <w:t>Рокштро</w:t>
      </w:r>
      <w:r>
        <w:rPr>
          <w:lang w:val="en-US"/>
        </w:rPr>
        <w:t xml:space="preserve"> (Jurgen </w:t>
      </w:r>
      <w:r>
        <w:t>К</w:t>
      </w:r>
      <w:r>
        <w:rPr>
          <w:lang w:val="en-US"/>
        </w:rPr>
        <w:t>. Rockstroh).</w:t>
      </w:r>
    </w:p>
    <w:p w14:paraId="7A7D1772" w14:textId="77777777" w:rsidR="00CB25B4" w:rsidRDefault="00CB25B4" w:rsidP="00CB25B4">
      <w:pPr>
        <w:autoSpaceDE w:val="0"/>
        <w:autoSpaceDN w:val="0"/>
        <w:ind w:firstLine="397"/>
        <w:jc w:val="both"/>
      </w:pPr>
      <w:r>
        <w:t>14) Клинические аспекты ВИЧ-инфекции. Дж. Бартлетт, Дж. Галлант, П. Фам. 2012 г. 527с.</w:t>
      </w:r>
    </w:p>
    <w:p w14:paraId="2BF97ACF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15) </w:t>
      </w:r>
      <w:hyperlink r:id="rId20" w:history="1">
        <w:r>
          <w:rPr>
            <w:rStyle w:val="a3"/>
          </w:rPr>
          <w:t>Приказ</w:t>
        </w:r>
      </w:hyperlink>
      <w:r>
        <w:t xml:space="preserve"> Министра здравоохранения Республики Казахстан от 25 декабря 2017 года № 994 «Об утверждении Инструкции по организации оказания медицинской помощи по туберкулезу».</w:t>
      </w:r>
    </w:p>
    <w:p w14:paraId="1CE91D8F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16) Клинический </w:t>
      </w:r>
      <w:hyperlink r:id="rId21" w:history="1">
        <w:r>
          <w:rPr>
            <w:rStyle w:val="a3"/>
          </w:rPr>
          <w:t>протокол</w:t>
        </w:r>
      </w:hyperlink>
      <w:r>
        <w:t xml:space="preserve"> диагностики и лечения сочетанной ВИЧ/ТБ инфекции от 29 марта 2019 года, одобренный Объединенной комиссией по качеству медицинских услуг Министерства здравоохранения Республики Казахстан.</w:t>
      </w:r>
    </w:p>
    <w:p w14:paraId="361FBFEE" w14:textId="77777777" w:rsidR="00CB25B4" w:rsidRDefault="00CB25B4" w:rsidP="00CB25B4">
      <w:pPr>
        <w:autoSpaceDE w:val="0"/>
        <w:autoSpaceDN w:val="0"/>
        <w:ind w:firstLine="397"/>
        <w:jc w:val="both"/>
      </w:pPr>
      <w:r>
        <w:t>17) Руководство по оказанию помощи и лечению при хронической инфекции, вызванной вирусом гепатита С. ВОЗ (июль 2018 год).</w:t>
      </w:r>
    </w:p>
    <w:p w14:paraId="7B12E426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18) Клинический </w:t>
      </w:r>
      <w:hyperlink r:id="rId22" w:history="1">
        <w:r>
          <w:rPr>
            <w:rStyle w:val="a3"/>
          </w:rPr>
          <w:t>протокол</w:t>
        </w:r>
      </w:hyperlink>
      <w:r>
        <w:t xml:space="preserve">, рекомендованный Экспертным советом РГП на ПХВ «Республиканский центр развития здравоохранения» Министерства здравоохранения и </w:t>
      </w:r>
      <w:r>
        <w:lastRenderedPageBreak/>
        <w:t>социального развития Республики Казахстан от «25» апреля 2019 года Протокол № 64 «Хронический вирусный гепатит С у детей».</w:t>
      </w:r>
    </w:p>
    <w:p w14:paraId="1EC78C14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0A475187" w14:textId="27AE828B" w:rsidR="00CB25B4" w:rsidRDefault="00CB25B4"/>
    <w:p w14:paraId="6CD2D766" w14:textId="6F9E5A24" w:rsidR="00CB25B4" w:rsidRDefault="00CB25B4"/>
    <w:p w14:paraId="28F4FB1C" w14:textId="59522787" w:rsidR="00CB25B4" w:rsidRDefault="00CB25B4"/>
    <w:p w14:paraId="3FC35563" w14:textId="43AF8DA8" w:rsidR="00CB25B4" w:rsidRDefault="00CB25B4"/>
    <w:p w14:paraId="40DA45F1" w14:textId="10B9F536" w:rsidR="00CB25B4" w:rsidRDefault="00CB25B4"/>
    <w:p w14:paraId="4900D71B" w14:textId="40491361" w:rsidR="00CB25B4" w:rsidRDefault="00CB25B4"/>
    <w:p w14:paraId="4E7951A5" w14:textId="1F3E05E1" w:rsidR="00CB25B4" w:rsidRDefault="00CB25B4"/>
    <w:p w14:paraId="29744189" w14:textId="6C02F278" w:rsidR="00CB25B4" w:rsidRDefault="00CB25B4"/>
    <w:p w14:paraId="481CCD4B" w14:textId="13FC9F13" w:rsidR="00CB25B4" w:rsidRDefault="00CB25B4"/>
    <w:p w14:paraId="70301314" w14:textId="77777777" w:rsidR="00CC1EC9" w:rsidRDefault="00CC1EC9" w:rsidP="00CC1EC9">
      <w:pPr>
        <w:autoSpaceDE w:val="0"/>
        <w:autoSpaceDN w:val="0"/>
      </w:pPr>
    </w:p>
    <w:p w14:paraId="2AD77A1B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30D8295B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6916C785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20D4B311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125BE1DF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75946E0A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0D95B54E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4EAC684F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46AF11A7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06DBD21E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55D5FE29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29AEEB0B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4723C04E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174E51E5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026E26B0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5706EF93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67154B51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471D3F60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6AB6E072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590F011B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30EB7611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7E23C906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6A992E0E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45F898E9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751DFA04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0CDFC0B3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63CD6906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55D12609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311B894F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33C1260D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37121CE6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019DD8B6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5DB7DDDF" w14:textId="77777777" w:rsidR="00B0453C" w:rsidRDefault="00B0453C" w:rsidP="00CC1EC9">
      <w:pPr>
        <w:autoSpaceDE w:val="0"/>
        <w:autoSpaceDN w:val="0"/>
        <w:jc w:val="right"/>
        <w:rPr>
          <w:b/>
          <w:bCs/>
        </w:rPr>
      </w:pPr>
    </w:p>
    <w:p w14:paraId="2937A66E" w14:textId="1F8F763E" w:rsidR="00CB25B4" w:rsidRDefault="00CB25B4" w:rsidP="00CC1EC9">
      <w:pPr>
        <w:autoSpaceDE w:val="0"/>
        <w:autoSpaceDN w:val="0"/>
        <w:jc w:val="right"/>
      </w:pPr>
      <w:r>
        <w:rPr>
          <w:b/>
          <w:bCs/>
        </w:rPr>
        <w:t>Приложение № 1</w:t>
      </w:r>
    </w:p>
    <w:p w14:paraId="56F8932A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19329DDC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 xml:space="preserve">Взаимодействие </w:t>
      </w:r>
      <w:r>
        <w:rPr>
          <w:b/>
          <w:bCs/>
          <w:lang w:val="en-US"/>
        </w:rPr>
        <w:t>APT</w:t>
      </w:r>
      <w:r>
        <w:rPr>
          <w:b/>
          <w:bCs/>
        </w:rPr>
        <w:t xml:space="preserve"> с другими лекарственными средствами</w:t>
      </w:r>
    </w:p>
    <w:p w14:paraId="35E4386D" w14:textId="734B5DC3" w:rsidR="00CB25B4" w:rsidRDefault="00CB25B4">
      <w:r>
        <w:rPr>
          <w:noProof/>
        </w:rPr>
        <w:lastRenderedPageBreak/>
        <w:drawing>
          <wp:inline distT="0" distB="0" distL="0" distR="0" wp14:anchorId="5A4AE18E" wp14:editId="3BFA9963">
            <wp:extent cx="6480810" cy="8663903"/>
            <wp:effectExtent l="0" t="0" r="0" b="4445"/>
            <wp:docPr id="2" name="Рисунок 2" descr="https://prod-prg-document-store-api.azurewebsites.net/api/DocumentObject/GetImageAsync?ImageId=4208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081736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6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F7C7" w14:textId="49266389" w:rsidR="00CB25B4" w:rsidRDefault="00CB25B4"/>
    <w:p w14:paraId="60C55B3B" w14:textId="09A59911" w:rsidR="00CB25B4" w:rsidRDefault="00CB25B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F36C588" wp14:editId="05247DB2">
            <wp:extent cx="6480810" cy="1193180"/>
            <wp:effectExtent l="0" t="0" r="0" b="6985"/>
            <wp:docPr id="3" name="Рисунок 3" descr="https://prod-prg-document-store-api.azurewebsites.net/api/DocumentObject/GetImageAsync?ImageId=4208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208173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C49E" w14:textId="2C9CB804" w:rsidR="00CB25B4" w:rsidRPr="00CB25B4" w:rsidRDefault="00CB25B4" w:rsidP="00CB25B4"/>
    <w:p w14:paraId="134C4A65" w14:textId="70CECF78" w:rsidR="00CB25B4" w:rsidRDefault="00CB25B4" w:rsidP="00CB25B4">
      <w:pPr>
        <w:rPr>
          <w:noProof/>
        </w:rPr>
      </w:pPr>
    </w:p>
    <w:p w14:paraId="5B41BB5F" w14:textId="77777777" w:rsidR="00CB25B4" w:rsidRDefault="00CB25B4" w:rsidP="00CB25B4">
      <w:pPr>
        <w:autoSpaceDE w:val="0"/>
        <w:autoSpaceDN w:val="0"/>
        <w:ind w:firstLine="397"/>
        <w:jc w:val="both"/>
      </w:pPr>
      <w:r>
        <w:tab/>
      </w:r>
      <w:r>
        <w:rPr>
          <w:b/>
          <w:bCs/>
          <w:i/>
          <w:iCs/>
        </w:rPr>
        <w:t>Примечание:</w:t>
      </w:r>
    </w:p>
    <w:p w14:paraId="03BE0475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I</w:t>
      </w:r>
      <w:r>
        <w:t xml:space="preserve">. Эта таблица содержит обобщенные сведения о лекарственных взаимодействиях между препаратами для лечения ВИЧ и некоторыми другими препаратами, которые обычно назначаются одновременно с ними, а также о лекарственных взаимодействиях, имеющих особую клиническую значимость. Эта таблица не является исчерпывающей; другие сведения о лекарственных взаимодействиях и более подробные данные о фармакокинетических взаимодействиях и изменениях дозировки можно найти 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hiv</w:t>
      </w:r>
      <w:r>
        <w:t>-</w:t>
      </w:r>
      <w:r>
        <w:rPr>
          <w:lang w:val="en-US"/>
        </w:rPr>
        <w:t>druginteractions</w:t>
      </w:r>
      <w:r>
        <w:t>.</w:t>
      </w:r>
      <w:r>
        <w:rPr>
          <w:lang w:val="en-US"/>
        </w:rPr>
        <w:t>org</w:t>
      </w:r>
      <w:r>
        <w:t xml:space="preserve"> (Университет Ливерпуля).</w:t>
      </w:r>
    </w:p>
    <w:p w14:paraId="2BBDA0EC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II</w:t>
      </w:r>
      <w:r>
        <w:t xml:space="preserve">. Без изменений фармакокинетики при применении не бустированного ИП </w:t>
      </w:r>
      <w:r>
        <w:rPr>
          <w:lang w:val="en-US"/>
        </w:rPr>
        <w:t>b</w:t>
      </w:r>
    </w:p>
    <w:p w14:paraId="24D33BD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III</w:t>
      </w:r>
      <w:r>
        <w:t xml:space="preserve">. Рекомендуется регулярно отслеживать показатели ЭКГ компания-производитель рилпивирина рекомендует соблюдать особую осторожность при его применении в комбинации с другими препаратами, о которых известно, что они удлиняют интервал </w:t>
      </w:r>
      <w:r>
        <w:rPr>
          <w:lang w:val="en-US"/>
        </w:rPr>
        <w:t>QT</w:t>
      </w:r>
      <w:r w:rsidRPr="004121A6">
        <w:t xml:space="preserve"> </w:t>
      </w:r>
      <w:r>
        <w:t xml:space="preserve">увеличение концентрации активного метаболита, при лечении только </w:t>
      </w:r>
      <w:r>
        <w:rPr>
          <w:lang w:val="en-US"/>
        </w:rPr>
        <w:t>RTV</w:t>
      </w:r>
      <w:r>
        <w:t xml:space="preserve"> 100 мг 2 р/сут, но беззначимых воздействий на функцию надпочечников. </w:t>
      </w:r>
    </w:p>
    <w:p w14:paraId="56ABE3EC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IV</w:t>
      </w:r>
      <w:r>
        <w:t>. Предупреждение по-прежнему оправдано, используйте самую низкую из возможных дозировок кортикостероидов и отслеживайте побочные эффекты при применении кортикостероидов.</w:t>
      </w:r>
    </w:p>
    <w:p w14:paraId="1B53CAC0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VI</w:t>
      </w:r>
      <w:r>
        <w:t>. Концентрация исходного препарата не изменяется, а метаболита увеличивается.</w:t>
      </w:r>
    </w:p>
    <w:p w14:paraId="7895DE72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VII</w:t>
      </w:r>
      <w:r>
        <w:t xml:space="preserve">. Увеличение этинилэстрадиола при применении небустированного </w:t>
      </w:r>
      <w:r>
        <w:rPr>
          <w:lang w:val="en-US"/>
        </w:rPr>
        <w:t>ATV</w:t>
      </w:r>
      <w:r>
        <w:t>.</w:t>
      </w:r>
    </w:p>
    <w:p w14:paraId="2883AC2F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VIII</w:t>
      </w:r>
      <w:r>
        <w:t>. Этинилэстрадиол без изменений, но ↓, прогестин.</w:t>
      </w:r>
    </w:p>
    <w:p w14:paraId="5E7148C9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IX</w:t>
      </w:r>
      <w:r>
        <w:t xml:space="preserve">. Возможна гематологическая токсичность применяйте </w:t>
      </w:r>
      <w:r>
        <w:rPr>
          <w:lang w:val="en-US"/>
        </w:rPr>
        <w:t>DTG</w:t>
      </w:r>
      <w:r>
        <w:t xml:space="preserve"> в дозировке 50 мг 50 мг 2 р/сут для лечения наивных или ИИ - наивных пациентов с ВИЧ-инфекцией.</w:t>
      </w:r>
    </w:p>
    <w:p w14:paraId="3B022C53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Следует использовать альтернативы рифампицину где это возможно для лечения ИИ - опытных пациентов с ВИЧ-инфекцией с определенной резистентностью, связанной с ИИ, или с клинически ожидаемой резистентностью к ИИ. </w:t>
      </w:r>
    </w:p>
    <w:p w14:paraId="5D6B35CE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lang w:val="en-US"/>
        </w:rPr>
        <w:t>X</w:t>
      </w:r>
      <w:r>
        <w:t xml:space="preserve">. без изменений дозы </w:t>
      </w:r>
      <w:r>
        <w:rPr>
          <w:lang w:val="en-US"/>
        </w:rPr>
        <w:t>MVC</w:t>
      </w:r>
      <w:r w:rsidRPr="004121A6">
        <w:t xml:space="preserve"> </w:t>
      </w:r>
      <w:r>
        <w:t xml:space="preserve">в отсутствие ИП; если с ИП (кроме </w:t>
      </w:r>
      <w:r>
        <w:rPr>
          <w:lang w:val="en-US"/>
        </w:rPr>
        <w:t>TPV</w:t>
      </w:r>
      <w:r>
        <w:t>/</w:t>
      </w:r>
      <w:r>
        <w:rPr>
          <w:lang w:val="en-US"/>
        </w:rPr>
        <w:t>r</w:t>
      </w:r>
      <w:r>
        <w:t xml:space="preserve">; </w:t>
      </w:r>
      <w:r>
        <w:rPr>
          <w:lang w:val="en-US"/>
        </w:rPr>
        <w:t>FPV</w:t>
      </w:r>
      <w:r>
        <w:t>/</w:t>
      </w:r>
      <w:r>
        <w:rPr>
          <w:lang w:val="en-US"/>
        </w:rPr>
        <w:t>r</w:t>
      </w:r>
      <w:r>
        <w:t xml:space="preserve">), то назначать </w:t>
      </w:r>
      <w:r>
        <w:rPr>
          <w:lang w:val="en-US"/>
        </w:rPr>
        <w:t>MVC</w:t>
      </w:r>
      <w:r>
        <w:t xml:space="preserve"> 150 мг 2 р/сут.</w:t>
      </w:r>
    </w:p>
    <w:p w14:paraId="74FC0EE0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 xml:space="preserve">Числами обозначено снижение/увеличение </w:t>
      </w:r>
      <w:r>
        <w:rPr>
          <w:b/>
          <w:bCs/>
          <w:lang w:val="en-US"/>
        </w:rPr>
        <w:t>AUC</w:t>
      </w:r>
      <w:r w:rsidRPr="004121A6">
        <w:rPr>
          <w:b/>
          <w:bCs/>
        </w:rPr>
        <w:t xml:space="preserve"> </w:t>
      </w:r>
      <w:r>
        <w:rPr>
          <w:b/>
          <w:bCs/>
        </w:rPr>
        <w:t xml:space="preserve">АРВ/не-АРВ препаратов, полученные в исследованиях межлекарственных взаимодействий. </w:t>
      </w:r>
    </w:p>
    <w:p w14:paraId="04D3AEED" w14:textId="77777777" w:rsidR="00CB25B4" w:rsidRDefault="00CB25B4" w:rsidP="00CB25B4">
      <w:pPr>
        <w:autoSpaceDE w:val="0"/>
        <w:autoSpaceDN w:val="0"/>
        <w:ind w:firstLine="397"/>
        <w:jc w:val="both"/>
      </w:pPr>
      <w:r>
        <w:t>Условные обозначения.</w:t>
      </w:r>
    </w:p>
    <w:p w14:paraId="47EA5DD7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↑ возможно увеличение воздействия не-АРВ препарата </w:t>
      </w:r>
    </w:p>
    <w:p w14:paraId="051ECD3D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↓ возможно снижение воздействия не-АРВ препарата </w:t>
      </w:r>
    </w:p>
    <w:p w14:paraId="09B43F42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↔ без значимых взаимодействий Е возможно увеличение воздействия АРВ </w:t>
      </w:r>
      <w:r>
        <w:rPr>
          <w:lang w:val="en-US"/>
        </w:rPr>
        <w:t>D</w:t>
      </w:r>
      <w:r>
        <w:t xml:space="preserve"> возможно снижение воздействия АРВ. </w:t>
      </w:r>
    </w:p>
    <w:p w14:paraId="62EB6CE3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b/>
          <w:bCs/>
        </w:rPr>
        <w:t>Цветовые обозначения:</w:t>
      </w:r>
    </w:p>
    <w:p w14:paraId="7CBD3D38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noProof/>
        </w:rPr>
        <w:drawing>
          <wp:inline distT="0" distB="0" distL="0" distR="0" wp14:anchorId="2B796FDE" wp14:editId="6CC55131">
            <wp:extent cx="857250" cy="276225"/>
            <wp:effectExtent l="0" t="0" r="0" b="9525"/>
            <wp:docPr id="4" name="Рисунок 4" descr="https://prod-prg-document-store-api.azurewebsites.net/api/DocumentObject/GetImageAsync?ImageId=4208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2081738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77BF" w14:textId="77777777" w:rsidR="00CB25B4" w:rsidRDefault="00CB25B4" w:rsidP="00CB25B4">
      <w:pPr>
        <w:autoSpaceDE w:val="0"/>
        <w:autoSpaceDN w:val="0"/>
        <w:ind w:firstLine="397"/>
        <w:jc w:val="both"/>
      </w:pPr>
      <w:r>
        <w:t>Клинически значимых взаимодействий не ожидается</w:t>
      </w:r>
    </w:p>
    <w:p w14:paraId="45188B2A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noProof/>
        </w:rPr>
        <w:drawing>
          <wp:inline distT="0" distB="0" distL="0" distR="0" wp14:anchorId="68C8B1D2" wp14:editId="765AAA37">
            <wp:extent cx="847725" cy="238125"/>
            <wp:effectExtent l="0" t="0" r="9525" b="9525"/>
            <wp:docPr id="5" name="Рисунок 5" descr="https://prod-prg-document-store-api.azurewebsites.net/api/DocumentObject/GetImageAsync?ImageId=4208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2081739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AD9D" w14:textId="77777777" w:rsidR="00CB25B4" w:rsidRDefault="00CB25B4" w:rsidP="00CB25B4">
      <w:pPr>
        <w:autoSpaceDE w:val="0"/>
        <w:autoSpaceDN w:val="0"/>
        <w:ind w:firstLine="397"/>
        <w:jc w:val="both"/>
      </w:pPr>
      <w:r>
        <w:t>Эти препараты не должны применятся одновременно</w:t>
      </w:r>
    </w:p>
    <w:p w14:paraId="5DD44B55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noProof/>
        </w:rPr>
        <w:drawing>
          <wp:inline distT="0" distB="0" distL="0" distR="0" wp14:anchorId="0F40F386" wp14:editId="49CB12C0">
            <wp:extent cx="857250" cy="314325"/>
            <wp:effectExtent l="0" t="0" r="0" b="9525"/>
            <wp:docPr id="6" name="Рисунок 6" descr="https://prod-prg-document-store-api.azurewebsites.net/api/DocumentObject/GetImageAsync?ImageId=4208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208174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D9EA" w14:textId="77777777" w:rsidR="00CB25B4" w:rsidRDefault="00CB25B4" w:rsidP="00CB25B4">
      <w:pPr>
        <w:autoSpaceDE w:val="0"/>
        <w:autoSpaceDN w:val="0"/>
        <w:ind w:firstLine="397"/>
        <w:jc w:val="both"/>
      </w:pPr>
      <w:r>
        <w:t>Вероятно взаимодействие, при котором может потребоваться изменение дозировки препарата или тщательное наблюдение</w:t>
      </w:r>
    </w:p>
    <w:p w14:paraId="1C66BE47" w14:textId="77777777" w:rsidR="00CB25B4" w:rsidRDefault="00CB25B4" w:rsidP="00CB25B4">
      <w:pPr>
        <w:autoSpaceDE w:val="0"/>
        <w:autoSpaceDN w:val="0"/>
        <w:ind w:firstLine="397"/>
        <w:jc w:val="both"/>
      </w:pPr>
      <w:r>
        <w:rPr>
          <w:noProof/>
        </w:rPr>
        <w:lastRenderedPageBreak/>
        <w:drawing>
          <wp:inline distT="0" distB="0" distL="0" distR="0" wp14:anchorId="0E9B3D00" wp14:editId="747FD607">
            <wp:extent cx="866775" cy="285750"/>
            <wp:effectExtent l="0" t="0" r="9525" b="0"/>
            <wp:docPr id="7" name="Рисунок 7" descr="https://prod-prg-document-store-api.azurewebsites.net/api/DocumentObject/GetImageAsync?ImageId=4208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2081741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5C39" w14:textId="77777777" w:rsidR="00CB25B4" w:rsidRDefault="00CB25B4" w:rsidP="00CB25B4">
      <w:pPr>
        <w:autoSpaceDE w:val="0"/>
        <w:autoSpaceDN w:val="0"/>
        <w:ind w:firstLine="397"/>
        <w:jc w:val="both"/>
      </w:pPr>
      <w:r>
        <w:t xml:space="preserve">Вероятно взаимодействие небольшой интенсивности (&lt;2 раза ↑ </w:t>
      </w:r>
      <w:r>
        <w:rPr>
          <w:lang w:val="en-US"/>
        </w:rPr>
        <w:t>AUC</w:t>
      </w:r>
      <w:r>
        <w:t xml:space="preserve"> или &lt; 50% ↓ </w:t>
      </w:r>
      <w:r>
        <w:rPr>
          <w:lang w:val="en-US"/>
        </w:rPr>
        <w:t>AUC</w:t>
      </w:r>
      <w:r>
        <w:t xml:space="preserve">). </w:t>
      </w:r>
    </w:p>
    <w:p w14:paraId="5244B38C" w14:textId="77777777" w:rsidR="00CB25B4" w:rsidRDefault="00CB25B4" w:rsidP="00CB25B4">
      <w:pPr>
        <w:autoSpaceDE w:val="0"/>
        <w:autoSpaceDN w:val="0"/>
        <w:ind w:firstLine="397"/>
        <w:jc w:val="both"/>
      </w:pPr>
      <w:r>
        <w:t>Изменение дозы, априори, не рекомендуется; исключение составляют препараты, имеющие узкий терапевтический индекс.</w:t>
      </w:r>
    </w:p>
    <w:p w14:paraId="30A8EE95" w14:textId="77777777" w:rsidR="00CB25B4" w:rsidRDefault="00CB25B4" w:rsidP="00CB25B4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48FA1313" w14:textId="3973D9CE" w:rsidR="00CB25B4" w:rsidRDefault="003151AF" w:rsidP="00CB25B4">
      <w:pPr>
        <w:tabs>
          <w:tab w:val="left" w:pos="1812"/>
        </w:tabs>
        <w:rPr>
          <w:noProof/>
        </w:rPr>
      </w:pPr>
      <w:r>
        <w:rPr>
          <w:noProof/>
        </w:rPr>
        <w:drawing>
          <wp:inline distT="0" distB="0" distL="0" distR="0" wp14:anchorId="5D332DB0" wp14:editId="3B1802D9">
            <wp:extent cx="6480810" cy="7834740"/>
            <wp:effectExtent l="0" t="0" r="0" b="0"/>
            <wp:docPr id="8" name="Рисунок 8" descr="https://prod-prg-document-store-api.azurewebsites.net/api/DocumentObject/GetImageAsync?ImageId=4208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2081742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7E3E" w14:textId="7F32D228" w:rsidR="003151AF" w:rsidRPr="003151AF" w:rsidRDefault="003151AF" w:rsidP="003151AF"/>
    <w:p w14:paraId="5BB54D3A" w14:textId="55609E48" w:rsidR="003151AF" w:rsidRDefault="003151AF" w:rsidP="003151AF">
      <w:pPr>
        <w:rPr>
          <w:noProof/>
        </w:rPr>
      </w:pPr>
    </w:p>
    <w:p w14:paraId="38A7BD54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  <w:i/>
          <w:iCs/>
        </w:rPr>
        <w:t>Примечания:</w:t>
      </w:r>
    </w:p>
    <w:p w14:paraId="16171E9A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lastRenderedPageBreak/>
        <w:t>I</w:t>
      </w:r>
      <w:r w:rsidRPr="004121A6">
        <w:t xml:space="preserve"> </w:t>
      </w:r>
      <w:r>
        <w:t xml:space="preserve">совместное применение </w:t>
      </w:r>
      <w:r>
        <w:rPr>
          <w:lang w:val="en-US"/>
        </w:rPr>
        <w:t>RTV</w:t>
      </w:r>
      <w:r w:rsidRPr="004121A6">
        <w:t xml:space="preserve"> </w:t>
      </w:r>
      <w:r>
        <w:t>(100 мг 2 р/сут) повысило концентрацию активного метаболита (беклометазона-17-монопропионат), но не было замечено сильного влияния на функцию надпочечников. Тем не менее, требуется применять кортикостероиды с осторожностью и в наименьших возможных дозах, а также вести наблюдение за побочными эффектами кортикостероидов.</w:t>
      </w:r>
    </w:p>
    <w:p w14:paraId="0FFDC0AE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II</w:t>
      </w:r>
      <w:r w:rsidRPr="004121A6">
        <w:t xml:space="preserve"> </w:t>
      </w:r>
      <w:r>
        <w:rPr>
          <w:lang w:val="en-US"/>
        </w:rPr>
        <w:t>DRV</w:t>
      </w:r>
      <w:r>
        <w:t>/</w:t>
      </w:r>
      <w:r>
        <w:rPr>
          <w:lang w:val="en-US"/>
        </w:rPr>
        <w:t>r</w:t>
      </w:r>
      <w:r>
        <w:t xml:space="preserve"> понизил воздействие активного метаболита (беклометазона-17-монопропионат), не было замечено сильного влияния на функцию надпочечников.</w:t>
      </w:r>
    </w:p>
    <w:p w14:paraId="14D598AC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III</w:t>
      </w:r>
      <w:r w:rsidRPr="004121A6">
        <w:t xml:space="preserve"> </w:t>
      </w:r>
      <w:r>
        <w:t>риск повышения уровня кортикостероидов, возникновения синдрома Кушинга и адренальной супрессии. Данный риск возникает при использовании кортикостероидов, применяющихся не только П/О и при помощи инъекций, но также и кортикостероидов в виде глазных капель, ингаляций и местного применения.</w:t>
      </w:r>
    </w:p>
    <w:p w14:paraId="614EC092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IV</w:t>
      </w:r>
      <w:r w:rsidRPr="004121A6">
        <w:t xml:space="preserve"> </w:t>
      </w:r>
      <w:r>
        <w:t>степень чрескожной абсорбции определяется многими факторами, такими как степень воспаления и изменения кожи, продолжительность, частота и поверхность применения, использование окклюзионных повязок/</w:t>
      </w:r>
    </w:p>
    <w:p w14:paraId="253E82D3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a</w:t>
      </w:r>
      <w:r w:rsidRPr="004121A6">
        <w:t xml:space="preserve"> </w:t>
      </w:r>
      <w:r>
        <w:t>клиническая значимость неизвестна. Пациентам с факторами риска 3, предпосылками развития желудочно-кишечных расстройств, нарушениями функции печени или почек, а также пациентам жилого возраста следует назначать самую низкую рекомендуемую дозировку.</w:t>
      </w:r>
    </w:p>
    <w:p w14:paraId="6A2D8DB3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b</w:t>
      </w:r>
      <w:r w:rsidRPr="004121A6">
        <w:t xml:space="preserve"> </w:t>
      </w:r>
      <w:r>
        <w:t>возможна дополнительная гематологическая токсичность.</w:t>
      </w:r>
    </w:p>
    <w:p w14:paraId="70A1FCF1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h</w:t>
      </w:r>
      <w:r w:rsidRPr="004121A6">
        <w:t xml:space="preserve"> </w:t>
      </w:r>
      <w:r>
        <w:t xml:space="preserve">возрастает риск токсического поражения почек, если нестероидное противовоспалительное средство (НПВС) применяется в течение длительного периода, пациент имеет нарушения функции почек в анамнезе, мало весит, или если он принимает другие препараты, которые могут увеличить воздействие </w:t>
      </w:r>
      <w:r>
        <w:rPr>
          <w:lang w:val="en-US"/>
        </w:rPr>
        <w:t>TDF</w:t>
      </w:r>
      <w:r>
        <w:t xml:space="preserve">. При использовании НПВС одновременно с </w:t>
      </w:r>
      <w:r>
        <w:rPr>
          <w:lang w:val="en-US"/>
        </w:rPr>
        <w:t>TDF</w:t>
      </w:r>
      <w:r>
        <w:t xml:space="preserve"> необходимо постоянно контролировать пункцию почек. Числами обозначено увеличение/уменьшение </w:t>
      </w:r>
      <w:r>
        <w:rPr>
          <w:lang w:val="en-US"/>
        </w:rPr>
        <w:t>AUC</w:t>
      </w:r>
      <w:r>
        <w:t xml:space="preserve"> анальгетиков, определенное по результатам изучения лекарственных воздействий.</w:t>
      </w:r>
    </w:p>
    <w:p w14:paraId="11719F7E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4F0054A7" w14:textId="77777777" w:rsidR="003151AF" w:rsidRDefault="003151AF" w:rsidP="003151AF">
      <w:pPr>
        <w:autoSpaceDE w:val="0"/>
        <w:autoSpaceDN w:val="0"/>
        <w:ind w:firstLine="397"/>
        <w:jc w:val="right"/>
      </w:pPr>
      <w:r>
        <w:rPr>
          <w:b/>
          <w:bCs/>
        </w:rPr>
        <w:t>Приложение № 2</w:t>
      </w:r>
    </w:p>
    <w:p w14:paraId="5ABC6721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08CD3C60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Значительные взаимодействия между антиретровирусными препаратами и рифампицином/рифабутином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3143"/>
        <w:gridCol w:w="5007"/>
      </w:tblGrid>
      <w:tr w:rsidR="003151AF" w14:paraId="3E9C4E89" w14:textId="77777777" w:rsidTr="00FF409B">
        <w:tc>
          <w:tcPr>
            <w:tcW w:w="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B9B3" w14:textId="77777777" w:rsidR="003151AF" w:rsidRDefault="003151AF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Класс АРВ - препаратов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EDC8" w14:textId="77777777" w:rsidR="003151AF" w:rsidRDefault="003151AF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Конкретные АРВ - препараты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DEE9" w14:textId="77777777" w:rsidR="003151AF" w:rsidRDefault="003151AF" w:rsidP="00FF409B">
            <w:pPr>
              <w:autoSpaceDE w:val="0"/>
              <w:autoSpaceDN w:val="0"/>
              <w:jc w:val="center"/>
            </w:pPr>
            <w:r>
              <w:rPr>
                <w:b/>
                <w:bCs/>
              </w:rPr>
              <w:t>Взаимодействия препаратов и рекомендуется коррекция дозировки для одного или препаратов</w:t>
            </w:r>
          </w:p>
        </w:tc>
      </w:tr>
      <w:tr w:rsidR="003151AF" w14:paraId="3205554C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B8F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lang w:val="en-US"/>
              </w:rPr>
              <w:t>OT(I)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6B04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5465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Рифампицин: стандартная дозировка всех препаратов</w:t>
            </w:r>
          </w:p>
        </w:tc>
      </w:tr>
      <w:tr w:rsidR="003151AF" w14:paraId="520389D1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61DB4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E34BE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3942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Рифабутин: стандартная дозировка всех препаратов</w:t>
            </w:r>
          </w:p>
        </w:tc>
      </w:tr>
      <w:tr w:rsidR="003151AF" w14:paraId="4C77C8C1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060B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ИП/р и ИП/к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BC2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C3DC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Рифампицин: не рекомендуется</w:t>
            </w:r>
          </w:p>
        </w:tc>
      </w:tr>
      <w:tr w:rsidR="003151AF" w14:paraId="022DFE96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7B4B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ИП/р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A44A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Регулярно проверять печеночные ферменты и по возможности, проводить терапевтический мониторинг ИП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A5FE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Рифабутин: дозировка 150 мг 1 </w:t>
            </w:r>
            <w:r>
              <w:rPr>
                <w:lang w:val="en-US"/>
              </w:rPr>
              <w:t>p</w:t>
            </w:r>
            <w:r>
              <w:t>/сут (</w:t>
            </w:r>
            <w:r>
              <w:rPr>
                <w:lang w:val="en-US"/>
              </w:rPr>
              <w:t>II</w:t>
            </w:r>
            <w:r>
              <w:t xml:space="preserve">). </w:t>
            </w:r>
          </w:p>
          <w:p w14:paraId="0312C57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ИП/р в стандартной дозировке</w:t>
            </w:r>
          </w:p>
        </w:tc>
      </w:tr>
      <w:tr w:rsidR="003151AF" w14:paraId="558A9EBB" w14:textId="77777777" w:rsidTr="00FF409B"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753F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ИП/к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B790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050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Рифабутин: не рекомендуется. При необходимости, рекомендуемая дозировка рифабутина: 150 мг 1 р/сут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</w:tr>
      <w:tr w:rsidR="003151AF" w14:paraId="15804BCA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46F9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ННИОТ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8C88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EFV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219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Рифампицин: Коррекция дозировки не требуется. Рекомендуется стандартная дозировка </w:t>
            </w:r>
            <w:r>
              <w:rPr>
                <w:lang w:val="en-US"/>
              </w:rPr>
              <w:t>APT</w:t>
            </w:r>
            <w:r>
              <w:t xml:space="preserve"> после 2 недель противотуберкулезного лечения.</w:t>
            </w:r>
          </w:p>
        </w:tc>
      </w:tr>
      <w:tr w:rsidR="003151AF" w14:paraId="317486A9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8451E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08DB3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0B55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Рифабутин: 450 мг в день </w:t>
            </w:r>
            <w:r>
              <w:rPr>
                <w:lang w:val="en-US"/>
              </w:rPr>
              <w:t>EFV</w:t>
            </w:r>
            <w:r>
              <w:t>: стандартная дозировка</w:t>
            </w:r>
          </w:p>
        </w:tc>
      </w:tr>
      <w:tr w:rsidR="003151AF" w14:paraId="077678D4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EBF82" w14:textId="77777777" w:rsidR="003151AF" w:rsidRDefault="003151AF" w:rsidP="00FF409B"/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CE51" w14:textId="77777777" w:rsidR="003151AF" w:rsidRDefault="003151AF" w:rsidP="00FF409B">
            <w:pPr>
              <w:autoSpaceDE w:val="0"/>
              <w:autoSpaceDN w:val="0"/>
              <w:jc w:val="both"/>
            </w:pP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EF70" w14:textId="77777777" w:rsidR="003151AF" w:rsidRDefault="003151AF" w:rsidP="00FF409B">
            <w:pPr>
              <w:autoSpaceDE w:val="0"/>
              <w:autoSpaceDN w:val="0"/>
              <w:jc w:val="both"/>
            </w:pPr>
          </w:p>
        </w:tc>
      </w:tr>
      <w:tr w:rsidR="003151AF" w14:paraId="21589727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0806" w14:textId="77777777" w:rsidR="003151AF" w:rsidRDefault="003151AF" w:rsidP="00FF409B"/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20F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RPV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C829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Рифампицин: не рекомендуется.</w:t>
            </w:r>
          </w:p>
        </w:tc>
      </w:tr>
      <w:tr w:rsidR="003151AF" w14:paraId="779B156E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B66DE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63939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3319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Рифабутин: стандартная дозировка. Доза </w:t>
            </w:r>
            <w:r>
              <w:rPr>
                <w:lang w:val="en-US"/>
              </w:rPr>
              <w:t>RPV</w:t>
            </w:r>
            <w:r w:rsidRPr="004121A6">
              <w:t xml:space="preserve"> </w:t>
            </w:r>
            <w:r>
              <w:t>должна быть увеличена (применять с осторожностью).</w:t>
            </w:r>
          </w:p>
        </w:tc>
      </w:tr>
      <w:tr w:rsidR="003151AF" w14:paraId="7FE85E7D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20484" w14:textId="77777777" w:rsidR="003151AF" w:rsidRDefault="003151AF" w:rsidP="00FF409B"/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F0A0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ETV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1E90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Рифампицин: не рекомендуется.</w:t>
            </w:r>
          </w:p>
        </w:tc>
      </w:tr>
      <w:tr w:rsidR="003151AF" w14:paraId="4B83868D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DDC12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05F5A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DE1B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Рифабутин: стандартная дозировка обоих препаратов (мало данных - применять с осторожностью).</w:t>
            </w:r>
          </w:p>
        </w:tc>
      </w:tr>
      <w:tr w:rsidR="003151AF" w14:paraId="48EFE621" w14:textId="77777777" w:rsidTr="00FF409B"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B9C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b/>
                <w:bCs/>
              </w:rPr>
              <w:t>ИИ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FA5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RAL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580F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Рифампицин: стандартная дозировка. </w:t>
            </w:r>
            <w:r>
              <w:rPr>
                <w:lang w:val="en-US"/>
              </w:rPr>
              <w:t>RAL</w:t>
            </w:r>
            <w:r w:rsidRPr="004121A6">
              <w:t xml:space="preserve"> </w:t>
            </w:r>
            <w:r>
              <w:t>400 мг 2 раза в день (стандартная дозировка тоже может быть применена).</w:t>
            </w:r>
          </w:p>
        </w:tc>
      </w:tr>
      <w:tr w:rsidR="003151AF" w14:paraId="17A29D93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C600C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D80F5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ED41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Рифампицин: стандартная дозировка. </w:t>
            </w:r>
            <w:r>
              <w:rPr>
                <w:lang w:val="en-US"/>
              </w:rPr>
              <w:t>RAL</w:t>
            </w:r>
            <w:r>
              <w:t xml:space="preserve"> 400 мг 2 раза в день (стандартная дозировка тоже может быть применена).</w:t>
            </w:r>
          </w:p>
        </w:tc>
      </w:tr>
      <w:tr w:rsidR="003151AF" w14:paraId="0351086B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3C467" w14:textId="77777777" w:rsidR="003151AF" w:rsidRDefault="003151AF" w:rsidP="00FF409B"/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7F81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rPr>
                <w:lang w:val="en-US"/>
              </w:rPr>
              <w:t>DTG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5AC6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 xml:space="preserve">Рифампицин: стандартная дозировка. </w:t>
            </w:r>
            <w:r>
              <w:rPr>
                <w:lang w:val="en-US"/>
              </w:rPr>
              <w:t>DTG</w:t>
            </w:r>
            <w:r>
              <w:t xml:space="preserve"> по возрасту в двойной суточной дозировке (возможно делить 2 р/сут) (применять только при отсутствии резистентности к ИИ).</w:t>
            </w:r>
          </w:p>
        </w:tc>
      </w:tr>
      <w:tr w:rsidR="003151AF" w14:paraId="7C91E09E" w14:textId="77777777" w:rsidTr="00FF40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CA3F9" w14:textId="77777777" w:rsidR="003151AF" w:rsidRDefault="003151AF" w:rsidP="00FF40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B5CA8" w14:textId="77777777" w:rsidR="003151AF" w:rsidRDefault="003151AF" w:rsidP="00FF409B"/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514D" w14:textId="77777777" w:rsidR="003151AF" w:rsidRDefault="003151AF" w:rsidP="00FF409B">
            <w:pPr>
              <w:autoSpaceDE w:val="0"/>
              <w:autoSpaceDN w:val="0"/>
              <w:jc w:val="both"/>
            </w:pPr>
            <w:r>
              <w:t>Рифабутин: стандартная дозировка обоих препаратов.</w:t>
            </w:r>
          </w:p>
        </w:tc>
      </w:tr>
    </w:tbl>
    <w:p w14:paraId="76A525CA" w14:textId="63616DB9" w:rsidR="003151AF" w:rsidRDefault="003151AF" w:rsidP="003151AF">
      <w:pPr>
        <w:ind w:firstLine="708"/>
      </w:pPr>
    </w:p>
    <w:p w14:paraId="46EBD627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  <w:i/>
          <w:iCs/>
        </w:rPr>
        <w:t>Примечание:</w:t>
      </w:r>
    </w:p>
    <w:p w14:paraId="60836704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</w:t>
      </w:r>
      <w:r>
        <w:t xml:space="preserve">. Взаимодействие между </w:t>
      </w:r>
      <w:r>
        <w:rPr>
          <w:lang w:val="en-US"/>
        </w:rPr>
        <w:t>TAF</w:t>
      </w:r>
      <w:r w:rsidRPr="004121A6">
        <w:t xml:space="preserve"> </w:t>
      </w:r>
      <w:r>
        <w:t xml:space="preserve">и рифампицином пока не может быть тщательно оценено. Так как </w:t>
      </w:r>
      <w:r>
        <w:rPr>
          <w:lang w:val="en-US"/>
        </w:rPr>
        <w:t>TAF</w:t>
      </w:r>
      <w:r w:rsidRPr="004121A6">
        <w:t xml:space="preserve"> </w:t>
      </w:r>
      <w:r>
        <w:t>может быть восприимчив к индукции ферментов, следует избегать его использования во время лечения ТБ с применением рифампицина.</w:t>
      </w:r>
    </w:p>
    <w:p w14:paraId="2C13DDEB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II</w:t>
      </w:r>
      <w:r>
        <w:t xml:space="preserve">. Первоначальные исследования фармакокинетики у здоровых добровольцев показали, что концентрации рифабутина и его активного метаболита были значительно увеличены при сочетании с ИП/р. Поэтому было рекомендовано снижение дозировки рифабутина до 150 мг хЗ/неделю с целью сокращения риска связанной с рифабутином токсичности. Однако более поздние данные фармакокинетики, полученные от пациентов с коинфекцией ВИЧ/ТБ, показали, что совместное применение </w:t>
      </w: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ATV</w:t>
      </w:r>
      <w:r>
        <w:t>/</w:t>
      </w:r>
      <w:r>
        <w:rPr>
          <w:lang w:val="en-US"/>
        </w:rPr>
        <w:t>r</w:t>
      </w:r>
      <w:r>
        <w:t xml:space="preserve"> с рифабутином (150 мг х 3/неделя) давало концентрации рифабутина, которые были ниже наблюдаемых при введении рифабутина 300 мг </w:t>
      </w:r>
      <w:r>
        <w:rPr>
          <w:lang w:val="en-US"/>
        </w:rPr>
        <w:t>x</w:t>
      </w:r>
      <w:r>
        <w:t xml:space="preserve"> 1/сутки без ИП/р, показывая, что доза рифабутина может быть недостаточной. У пациентов с коинфекцией, получавших рифабутин 150 мг х 3/неделю и </w:t>
      </w: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ATV</w:t>
      </w:r>
      <w:r>
        <w:t>/</w:t>
      </w:r>
      <w:r>
        <w:rPr>
          <w:lang w:val="en-US"/>
        </w:rPr>
        <w:t>r</w:t>
      </w:r>
      <w:r>
        <w:t xml:space="preserve">, были описаны случаи рецидивов с приобретенным рифампицин - устойчивым ТБ. Рекомендации США для лечения ВИЧ предписывают применение рифабутина в дозе 150 мг </w:t>
      </w:r>
      <w:r>
        <w:rPr>
          <w:lang w:val="en-US"/>
        </w:rPr>
        <w:t>xl</w:t>
      </w:r>
      <w:r>
        <w:t>/сутки с ИП/р. Из-за ограниченности данных о безопасности при этой дозе и комбинации, пациентов, получающих рифабутин 150 мг х 1/сутки с ИП/р, следует тщательно контролировать на предмет связанной с рифабутином токсичности (например, увеит или нейтропения).</w:t>
      </w:r>
    </w:p>
    <w:p w14:paraId="11355591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III</w:t>
      </w:r>
      <w:r>
        <w:t xml:space="preserve">. Доступно слишком мало данных. Применять с осторожностью и всегда консультироваться со специалистом по лечению ВИЧ. Некоторые эксперты советуют применять рифабутин в дозировке 150 мг х 3/ в неделю в присутствии </w:t>
      </w:r>
      <w:r>
        <w:rPr>
          <w:lang w:val="en-US"/>
        </w:rPr>
        <w:t>COBI</w:t>
      </w:r>
      <w:r>
        <w:t xml:space="preserve">, чтобы снизить риск токсичности. При применении 150 мг 1 </w:t>
      </w:r>
      <w:r>
        <w:rPr>
          <w:lang w:val="en-US"/>
        </w:rPr>
        <w:t>p</w:t>
      </w:r>
      <w:r>
        <w:t>/сут, проводить тщательный мониторинг токсичности рифабутина.</w:t>
      </w:r>
    </w:p>
    <w:p w14:paraId="4620634F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7613A714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1FE65654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7767AEC1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4D4DF0CC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38CD245B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480A19B0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75FB1D32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23F3686B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43AC7E93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216629A8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638E9A0D" w14:textId="4B80A5D1" w:rsidR="003151AF" w:rsidRDefault="003151AF" w:rsidP="003151AF">
      <w:pPr>
        <w:autoSpaceDE w:val="0"/>
        <w:autoSpaceDN w:val="0"/>
        <w:ind w:firstLine="397"/>
        <w:jc w:val="right"/>
      </w:pPr>
      <w:r>
        <w:rPr>
          <w:b/>
          <w:bCs/>
        </w:rPr>
        <w:lastRenderedPageBreak/>
        <w:t>Приложение № 3</w:t>
      </w:r>
    </w:p>
    <w:p w14:paraId="70B8C215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7AFA85E7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Лекарственные взаимодействия между антиретровирусными препаратами и противовирусными препаратами прямого действия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42"/>
        <w:gridCol w:w="935"/>
        <w:gridCol w:w="1000"/>
        <w:gridCol w:w="485"/>
        <w:gridCol w:w="1116"/>
        <w:gridCol w:w="1161"/>
        <w:gridCol w:w="538"/>
        <w:gridCol w:w="418"/>
        <w:gridCol w:w="892"/>
        <w:gridCol w:w="564"/>
        <w:gridCol w:w="597"/>
        <w:gridCol w:w="536"/>
      </w:tblGrid>
      <w:tr w:rsidR="003151AF" w:rsidRPr="00F60E20" w14:paraId="7E99AF48" w14:textId="77777777" w:rsidTr="003151AF">
        <w:trPr>
          <w:cantSplit/>
          <w:trHeight w:val="1134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C8E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ПППД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330D299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ABC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29C7BA3" w14:textId="77777777" w:rsidR="003151AF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30C2E91" w14:textId="43280D8C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ATV/r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D2081FF" w14:textId="77777777" w:rsidR="003151AF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5635B99" w14:textId="74C8F9B5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DRV</w:t>
            </w:r>
            <w:r w:rsidRPr="00F60E20">
              <w:rPr>
                <w:b/>
                <w:bCs/>
                <w:sz w:val="20"/>
                <w:szCs w:val="20"/>
              </w:rPr>
              <w:t>/</w:t>
            </w:r>
            <w:r w:rsidRPr="00F60E20">
              <w:rPr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FBDDE24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DTG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F57CFE" w14:textId="77777777" w:rsidR="003151AF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1FFD196" w14:textId="077C91E4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EFV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EA52F0" w14:textId="77777777" w:rsidR="003151AF" w:rsidRDefault="003151AF" w:rsidP="003151A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E183E68" w14:textId="46573DCA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LPV/r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31F1098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NVP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CC77F3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RAL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229239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TDF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D507297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TAF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248FB8D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  <w:lang w:val="en-US"/>
              </w:rPr>
              <w:t>ZDV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E70AE5" w14:textId="77777777" w:rsidR="003151AF" w:rsidRPr="00F60E20" w:rsidRDefault="003151AF" w:rsidP="003151AF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ХТС</w:t>
            </w:r>
          </w:p>
        </w:tc>
      </w:tr>
      <w:tr w:rsidR="003151AF" w:rsidRPr="00F60E20" w14:paraId="1905DC91" w14:textId="77777777" w:rsidTr="003151AF">
        <w:trPr>
          <w:trHeight w:val="542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50EB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Софосбувир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39A2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FC21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56A0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33C2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6814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8F7F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D8DF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C5C4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D97B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FF06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83FC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4FA8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</w:tr>
      <w:tr w:rsidR="003151AF" w:rsidRPr="00F60E20" w14:paraId="5C388C29" w14:textId="77777777" w:rsidTr="003151AF">
        <w:trPr>
          <w:trHeight w:val="262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55CF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Софосбувир / ледипасвир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A358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22D6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 xml:space="preserve">При назначении совместно с </w:t>
            </w:r>
            <w:r w:rsidRPr="00F60E20">
              <w:rPr>
                <w:sz w:val="20"/>
                <w:szCs w:val="20"/>
                <w:lang w:val="en-US"/>
              </w:rPr>
              <w:t>TDF</w:t>
            </w:r>
            <w:r w:rsidRPr="00F60E20">
              <w:rPr>
                <w:sz w:val="20"/>
                <w:szCs w:val="20"/>
              </w:rPr>
              <w:t xml:space="preserve"> наблюдать на предмет токсического поражения почек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A99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 xml:space="preserve">При назначении совместно с </w:t>
            </w:r>
            <w:r w:rsidRPr="00F60E20">
              <w:rPr>
                <w:sz w:val="20"/>
                <w:szCs w:val="20"/>
                <w:lang w:val="en-US"/>
              </w:rPr>
              <w:t>TDF</w:t>
            </w:r>
            <w:r>
              <w:rPr>
                <w:sz w:val="20"/>
                <w:szCs w:val="20"/>
              </w:rPr>
              <w:t xml:space="preserve"> </w:t>
            </w:r>
            <w:r w:rsidRPr="00F60E20">
              <w:rPr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</w:t>
            </w:r>
            <w:r w:rsidRPr="00F60E20">
              <w:rPr>
                <w:sz w:val="20"/>
                <w:szCs w:val="20"/>
              </w:rPr>
              <w:t>на предмет токсического поражения почек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CE23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E69D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 xml:space="preserve">При назначении совместно с </w:t>
            </w:r>
            <w:r w:rsidRPr="00F60E20">
              <w:rPr>
                <w:sz w:val="20"/>
                <w:szCs w:val="20"/>
                <w:lang w:val="en-US"/>
              </w:rPr>
              <w:t>TDF</w:t>
            </w:r>
            <w:r w:rsidRPr="00F60E20">
              <w:rPr>
                <w:sz w:val="20"/>
                <w:szCs w:val="20"/>
              </w:rPr>
              <w:t xml:space="preserve"> наблюдать на предмет токсического поражения почек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DCF8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 xml:space="preserve">При назначении совместно с </w:t>
            </w:r>
            <w:r w:rsidRPr="00F60E20">
              <w:rPr>
                <w:sz w:val="20"/>
                <w:szCs w:val="20"/>
                <w:lang w:val="en-US"/>
              </w:rPr>
              <w:t>TDF</w:t>
            </w:r>
            <w:r w:rsidRPr="00F60E20">
              <w:rPr>
                <w:sz w:val="20"/>
                <w:szCs w:val="20"/>
              </w:rPr>
              <w:t xml:space="preserve"> наблюдать на предмет токсического поражения почек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D7F5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9EE2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0584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 xml:space="preserve">При назначении совместно с </w:t>
            </w:r>
            <w:r w:rsidRPr="00F60E20">
              <w:rPr>
                <w:sz w:val="20"/>
                <w:szCs w:val="20"/>
                <w:lang w:val="en-US"/>
              </w:rPr>
              <w:t>EFV</w:t>
            </w:r>
            <w:r w:rsidRPr="00F60E20">
              <w:rPr>
                <w:sz w:val="20"/>
                <w:szCs w:val="20"/>
              </w:rPr>
              <w:t>или усиленным ингибитором протеазы наблюдать на предмет токсического поражения почек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6263" w14:textId="77777777" w:rsidR="003151AF" w:rsidRPr="00F60E20" w:rsidRDefault="003151AF" w:rsidP="00FF40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23BD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F736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</w:tr>
      <w:tr w:rsidR="003151AF" w:rsidRPr="00F60E20" w14:paraId="657F4607" w14:textId="77777777" w:rsidTr="003151AF">
        <w:trPr>
          <w:trHeight w:val="18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EDEB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b/>
                <w:bCs/>
                <w:sz w:val="20"/>
                <w:szCs w:val="20"/>
              </w:rPr>
              <w:t>Рибавирин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EDC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FA7E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A391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CBD0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D81C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7313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95FD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EEF1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59D5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28C0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4EED" w14:textId="77777777" w:rsidR="003151AF" w:rsidRPr="00F60E20" w:rsidRDefault="003151AF" w:rsidP="00FF409B">
            <w:pPr>
              <w:autoSpaceDE w:val="0"/>
              <w:autoSpaceDN w:val="0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B9A2" w14:textId="77777777" w:rsidR="003151AF" w:rsidRPr="00F60E20" w:rsidRDefault="003151AF" w:rsidP="00FF409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60E20">
              <w:rPr>
                <w:sz w:val="20"/>
                <w:szCs w:val="20"/>
              </w:rPr>
              <w:t> </w:t>
            </w:r>
          </w:p>
        </w:tc>
      </w:tr>
    </w:tbl>
    <w:p w14:paraId="634F0507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  <w:i/>
          <w:iCs/>
        </w:rPr>
        <w:t>Примечания:</w:t>
      </w:r>
    </w:p>
    <w:p w14:paraId="6980C46B" w14:textId="77777777" w:rsidR="003151AF" w:rsidRDefault="003151AF" w:rsidP="003151AF">
      <w:pPr>
        <w:autoSpaceDE w:val="0"/>
        <w:autoSpaceDN w:val="0"/>
        <w:ind w:firstLine="397"/>
        <w:jc w:val="both"/>
      </w:pPr>
      <w:r>
        <w:t>Красный цвет - совместно назначать нельзя.</w:t>
      </w:r>
    </w:p>
    <w:p w14:paraId="0BFC25C6" w14:textId="77777777" w:rsidR="003151AF" w:rsidRDefault="003151AF" w:rsidP="003151AF">
      <w:pPr>
        <w:autoSpaceDE w:val="0"/>
        <w:autoSpaceDN w:val="0"/>
        <w:ind w:firstLine="397"/>
        <w:jc w:val="both"/>
      </w:pPr>
      <w:r>
        <w:t>Желтый цвет - возможное токсическое воздействие / взаимодействие / корректировка дозы, согласно описанию.</w:t>
      </w:r>
    </w:p>
    <w:p w14:paraId="6341DBCB" w14:textId="77777777" w:rsidR="003151AF" w:rsidRDefault="003151AF" w:rsidP="003151AF">
      <w:pPr>
        <w:autoSpaceDE w:val="0"/>
        <w:autoSpaceDN w:val="0"/>
        <w:ind w:firstLine="397"/>
        <w:jc w:val="both"/>
      </w:pPr>
      <w:r>
        <w:t>Зеленый цвет - взаимодействие отсутствует; совместное назначение разрешено.</w:t>
      </w:r>
    </w:p>
    <w:p w14:paraId="7099E3CB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ABC</w:t>
      </w:r>
      <w:r>
        <w:t xml:space="preserve"> - абакавир;</w:t>
      </w:r>
    </w:p>
    <w:p w14:paraId="5AC4D5E9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ATZ</w:t>
      </w:r>
      <w:r>
        <w:t>/</w:t>
      </w:r>
      <w:r>
        <w:rPr>
          <w:lang w:val="en-US"/>
        </w:rPr>
        <w:t>r</w:t>
      </w:r>
      <w:r>
        <w:t xml:space="preserve"> - Атазанавир/ритонавир;</w:t>
      </w:r>
    </w:p>
    <w:p w14:paraId="4C4F2C87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DRV</w:t>
      </w:r>
      <w:r>
        <w:t>/</w:t>
      </w:r>
      <w:r>
        <w:rPr>
          <w:lang w:val="en-US"/>
        </w:rPr>
        <w:t>r</w:t>
      </w:r>
      <w:r>
        <w:t xml:space="preserve"> - дарунавир/ритонавир;</w:t>
      </w:r>
    </w:p>
    <w:p w14:paraId="146C0B91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DTG</w:t>
      </w:r>
      <w:r>
        <w:t xml:space="preserve"> - долутегравир;</w:t>
      </w:r>
    </w:p>
    <w:p w14:paraId="100468F5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EFV</w:t>
      </w:r>
      <w:r>
        <w:t xml:space="preserve"> - эфавиренз;</w:t>
      </w:r>
    </w:p>
    <w:p w14:paraId="143B4A16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LPV</w:t>
      </w:r>
      <w:r>
        <w:t>/</w:t>
      </w:r>
      <w:r>
        <w:rPr>
          <w:lang w:val="en-US"/>
        </w:rPr>
        <w:t>r</w:t>
      </w:r>
      <w:r>
        <w:t xml:space="preserve"> - лопинавир/г;</w:t>
      </w:r>
    </w:p>
    <w:p w14:paraId="4195E19E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NVP</w:t>
      </w:r>
      <w:r>
        <w:t xml:space="preserve"> - невирапин;</w:t>
      </w:r>
    </w:p>
    <w:p w14:paraId="2DFD4A02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RAL</w:t>
      </w:r>
      <w:r>
        <w:t xml:space="preserve"> - ралтегравир;</w:t>
      </w:r>
    </w:p>
    <w:p w14:paraId="690CFFDF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ZDV</w:t>
      </w:r>
      <w:r>
        <w:t xml:space="preserve"> - зидовудин;</w:t>
      </w:r>
    </w:p>
    <w:p w14:paraId="32C1035A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TDF</w:t>
      </w:r>
      <w:r>
        <w:t xml:space="preserve"> - тенофовир дизопроксил фумарат;</w:t>
      </w:r>
    </w:p>
    <w:p w14:paraId="31AA5868" w14:textId="77777777" w:rsidR="003151AF" w:rsidRDefault="003151AF" w:rsidP="003151AF">
      <w:pPr>
        <w:autoSpaceDE w:val="0"/>
        <w:autoSpaceDN w:val="0"/>
        <w:ind w:firstLine="397"/>
        <w:jc w:val="both"/>
      </w:pPr>
      <w:r>
        <w:t>ХТС - эмтрицитабин/ламивудин;</w:t>
      </w:r>
    </w:p>
    <w:p w14:paraId="6F0E56E9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lang w:val="en-US"/>
        </w:rPr>
        <w:t>TAF</w:t>
      </w:r>
      <w:r>
        <w:t xml:space="preserve"> - тенофовир алафенамид.</w:t>
      </w:r>
    </w:p>
    <w:p w14:paraId="14290D47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19E1DD40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3707D4E1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0E5C9382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0A4D1BC5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68EF41AA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2E9AAADC" w14:textId="77777777" w:rsidR="003151AF" w:rsidRDefault="003151AF" w:rsidP="003151AF">
      <w:pPr>
        <w:autoSpaceDE w:val="0"/>
        <w:autoSpaceDN w:val="0"/>
        <w:ind w:firstLine="397"/>
        <w:jc w:val="right"/>
        <w:rPr>
          <w:b/>
          <w:bCs/>
        </w:rPr>
      </w:pPr>
    </w:p>
    <w:p w14:paraId="05EF0E2D" w14:textId="3DB6F325" w:rsidR="003151AF" w:rsidRDefault="003151AF" w:rsidP="003151AF">
      <w:pPr>
        <w:autoSpaceDE w:val="0"/>
        <w:autoSpaceDN w:val="0"/>
        <w:ind w:firstLine="397"/>
        <w:jc w:val="right"/>
      </w:pPr>
      <w:r>
        <w:rPr>
          <w:b/>
          <w:bCs/>
        </w:rPr>
        <w:lastRenderedPageBreak/>
        <w:t>Приложение 4</w:t>
      </w:r>
    </w:p>
    <w:p w14:paraId="3EFF7C5C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6A52AF1C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Психосоциальная поддержка детей, подростков и семей, живущих с ВИЧ</w:t>
      </w:r>
    </w:p>
    <w:p w14:paraId="0114AF46" w14:textId="77777777" w:rsidR="003151AF" w:rsidRDefault="003151AF" w:rsidP="003151AF">
      <w:pPr>
        <w:autoSpaceDE w:val="0"/>
        <w:autoSpaceDN w:val="0"/>
        <w:ind w:firstLine="397"/>
        <w:jc w:val="center"/>
      </w:pPr>
      <w:r>
        <w:rPr>
          <w:b/>
          <w:bCs/>
        </w:rPr>
        <w:t> </w:t>
      </w:r>
    </w:p>
    <w:p w14:paraId="1194CBB3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Оказание поддержки и комплекса услуг детям с ВИЧ и их семьям с целью обеспечения приверженности лечению.</w:t>
      </w:r>
    </w:p>
    <w:p w14:paraId="14575F82" w14:textId="77777777" w:rsidR="003151AF" w:rsidRDefault="003151AF" w:rsidP="003151AF">
      <w:pPr>
        <w:autoSpaceDE w:val="0"/>
        <w:autoSpaceDN w:val="0"/>
        <w:ind w:firstLine="397"/>
        <w:jc w:val="both"/>
      </w:pPr>
      <w:r>
        <w:t>Мультидисциплинарной командой специалистов проводиться оценка семьи (родителей/опекунов и ребенка отдельно) с целью выявления каких-либо убеждений об АРТ/лечении и других нюансов в жизни ребенка либо семьи, которые могут отразиться на его приверженности лечению. По результатам оценки разрабатывается план психосоциального сопровождения ребенка, включающий вопросы обсуждения до начала курса лечения, в начале лечения и при последующем наблюдении в ходе лечения. Повторную оценку и пересмотр плана работы рекомендуется проводить не реже 1 раза в год, при необходимости чаще.</w:t>
      </w:r>
    </w:p>
    <w:p w14:paraId="76F7B628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Индикаторы.</w:t>
      </w:r>
    </w:p>
    <w:p w14:paraId="1814205F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Доля семей с детьми, прошедших первичную оценку потребностей.</w:t>
      </w:r>
    </w:p>
    <w:p w14:paraId="572A93BC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Доля семей с детьми, прошедших глубинную оценку потребностей.</w:t>
      </w:r>
    </w:p>
    <w:p w14:paraId="1772681E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Доля семей, имеющих планы психосоциального сопровождения ребенка.</w:t>
      </w:r>
    </w:p>
    <w:p w14:paraId="1B11120E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Достигнутые результаты (с указанием дат).</w:t>
      </w:r>
    </w:p>
    <w:p w14:paraId="78EE5DAD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и процент открытых и закрытых планов психосоциального сопровождения ребенка и семьи.</w:t>
      </w:r>
    </w:p>
    <w:p w14:paraId="6B8CB7B2" w14:textId="77777777" w:rsidR="003151AF" w:rsidRDefault="003151AF" w:rsidP="003151AF">
      <w:pPr>
        <w:autoSpaceDE w:val="0"/>
        <w:autoSpaceDN w:val="0"/>
        <w:ind w:firstLine="397"/>
        <w:jc w:val="both"/>
      </w:pPr>
      <w:r>
        <w:t xml:space="preserve">- Доля детей с ВИЧ, принимающих </w:t>
      </w:r>
      <w:r>
        <w:rPr>
          <w:lang w:val="en-US"/>
        </w:rPr>
        <w:t>APT</w:t>
      </w:r>
      <w:r>
        <w:t>.</w:t>
      </w:r>
    </w:p>
    <w:p w14:paraId="10701FA1" w14:textId="77777777" w:rsidR="003151AF" w:rsidRDefault="003151AF" w:rsidP="003151AF">
      <w:pPr>
        <w:autoSpaceDE w:val="0"/>
        <w:autoSpaceDN w:val="0"/>
        <w:ind w:firstLine="397"/>
        <w:jc w:val="both"/>
      </w:pPr>
      <w:r>
        <w:t xml:space="preserve">- Доля детей с ВИЧ, с эффективностью </w:t>
      </w:r>
      <w:r>
        <w:rPr>
          <w:lang w:val="en-US"/>
        </w:rPr>
        <w:t>APT</w:t>
      </w:r>
      <w:r>
        <w:t xml:space="preserve"> (</w:t>
      </w:r>
      <w:r>
        <w:rPr>
          <w:lang w:val="en-US"/>
        </w:rPr>
        <w:t>BH</w:t>
      </w:r>
      <w:r>
        <w:t xml:space="preserve"> менее 50 копий/мл).</w:t>
      </w:r>
    </w:p>
    <w:p w14:paraId="387A0F9F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Образование по вопросам ВИЧ, раскрытие ВИЧ-статуса.</w:t>
      </w:r>
    </w:p>
    <w:p w14:paraId="3DB62014" w14:textId="77777777" w:rsidR="003151AF" w:rsidRDefault="003151AF" w:rsidP="003151AF">
      <w:pPr>
        <w:autoSpaceDE w:val="0"/>
        <w:autoSpaceDN w:val="0"/>
        <w:ind w:firstLine="397"/>
        <w:jc w:val="both"/>
      </w:pPr>
      <w:r>
        <w:t>Разговор с ребенком о его положительном ВИЧ-статусе является частью процесса образования ребенка по вопросам ВИЧ-инфекции. С родителями следует проводить беседы о раскрытии ВИЧ-статуса ребенку с момента взятия на диспансерный учет ребенка. Раскрытие ВИЧ-статуса ребенку занимает определенное количество времени (не менее 12 месяцев), и проводится совместно с семьей ребенка. Оценку готовности детей к тому, чтобы им рассказали об их ВИЧ-статусе, следует начинать в возрасте 6-7 лет. Важно ориентироваться на личную потребность ребенка в получении данной информации и учитывать его способность понять, и принять подобную информацию. Большинству детей необходимо сообщить об их ВИЧ-статусе до 11 лет.</w:t>
      </w:r>
    </w:p>
    <w:p w14:paraId="0EF96687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10DEF28E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детей, которым известен их статус из числа подлежащих по возрасту старше 7 лет.</w:t>
      </w:r>
    </w:p>
    <w:p w14:paraId="540BFD30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Доля семей, которые прошли обучение (количество часов).</w:t>
      </w:r>
    </w:p>
    <w:p w14:paraId="6AFCFED7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открытых и закрытых планов психосоциального сопровождения семей и детей.</w:t>
      </w:r>
    </w:p>
    <w:p w14:paraId="06C9673C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Сексуальное здоровье детей с ВИЧ. Перенаправление и поддержка репродуктивного здоровья.</w:t>
      </w:r>
    </w:p>
    <w:p w14:paraId="778A1646" w14:textId="77777777" w:rsidR="003151AF" w:rsidRDefault="003151AF" w:rsidP="003151AF">
      <w:pPr>
        <w:autoSpaceDE w:val="0"/>
        <w:autoSpaceDN w:val="0"/>
        <w:ind w:firstLine="397"/>
        <w:jc w:val="both"/>
      </w:pPr>
      <w:r>
        <w:t>Консультирование по вопросам сексуального здоровья, предотвращения дальнейшей передачи ВИЧ и репродуктивного здоровья следует начать согласно возрасту ребенка, уровню его развития, и, по возможности, до начала периода сексуальной активности.</w:t>
      </w:r>
    </w:p>
    <w:p w14:paraId="07858574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285D56BC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Протокол мини-сессии: темы, сколько подростков, какого возраста посетили образовательные сессии, сколько подростков пришли повторно, сколько подростков пришли с друзьями.</w:t>
      </w:r>
    </w:p>
    <w:p w14:paraId="1FD5287D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Наличие карты доступных услуг по сексуальному здоровью (перечень организаций, специалистов) для подростков.</w:t>
      </w:r>
    </w:p>
    <w:p w14:paraId="4F7F141B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Устранение стигмы и самостигмы при ВИЧ-инфекции.</w:t>
      </w:r>
    </w:p>
    <w:p w14:paraId="593341B3" w14:textId="77777777" w:rsidR="003151AF" w:rsidRDefault="003151AF" w:rsidP="003151AF">
      <w:pPr>
        <w:autoSpaceDE w:val="0"/>
        <w:autoSpaceDN w:val="0"/>
        <w:ind w:firstLine="397"/>
        <w:jc w:val="both"/>
      </w:pPr>
      <w:r>
        <w:t>Направления работы: проведение обучающих семинаров для подростков ЛЖВ и членов их семей по выявлению и борьбе со стигмой и самостигмой; проведение тренингов среди населения, кампаний СМИ по формированию толерантного отношения к людям, живущим с ВИЧ.</w:t>
      </w:r>
    </w:p>
    <w:p w14:paraId="1E6C4D77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3BE4951D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Число ЛЖВ и членов их семей, обученных противодействию стигме и дискриминации.</w:t>
      </w:r>
    </w:p>
    <w:p w14:paraId="4B394CEE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Число тренингов для населения, публикаций по развитию толерантного отношения к ЛЖВ.</w:t>
      </w:r>
    </w:p>
    <w:p w14:paraId="704926AB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Переход детей с ВИЧ в систему обслуживания взрослых и подростков.</w:t>
      </w:r>
    </w:p>
    <w:p w14:paraId="415D50A7" w14:textId="77777777" w:rsidR="003151AF" w:rsidRDefault="003151AF" w:rsidP="003151AF">
      <w:pPr>
        <w:autoSpaceDE w:val="0"/>
        <w:autoSpaceDN w:val="0"/>
        <w:ind w:firstLine="397"/>
        <w:jc w:val="both"/>
      </w:pPr>
      <w:r>
        <w:lastRenderedPageBreak/>
        <w:t xml:space="preserve">Консультировать подростков старше 14 лет по поводу перехода во «взрослую» клинику, необходимо предусмотреть данное мероприятие в индивидуальных планах по психосоциальной поддержке с указанием сроков и мероприятий, планируемых на период перехода ребенка. </w:t>
      </w:r>
    </w:p>
    <w:p w14:paraId="33EBEB1D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7CA78635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документированных планов по переходу детей в учреждение для взрослых.</w:t>
      </w:r>
    </w:p>
    <w:p w14:paraId="41D494D1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Совместное ведение подростка педиатром и врачом, обслуживающим взрослое население, в течение года после перехода во «взрослую» клинику.</w:t>
      </w:r>
    </w:p>
    <w:p w14:paraId="135DEF9E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Число молодых людей с ВИЧ, самостоятельно посещающих клинику.</w:t>
      </w:r>
    </w:p>
    <w:p w14:paraId="15BE4423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Области компетенции мультидисциплинарной специализированной педиатрической команды по обслуживанию детей с ВИЧ.</w:t>
      </w:r>
    </w:p>
    <w:p w14:paraId="3F48ADFC" w14:textId="77777777" w:rsidR="003151AF" w:rsidRDefault="003151AF" w:rsidP="003151AF">
      <w:pPr>
        <w:autoSpaceDE w:val="0"/>
        <w:autoSpaceDN w:val="0"/>
        <w:ind w:firstLine="397"/>
        <w:jc w:val="both"/>
      </w:pPr>
      <w:r>
        <w:t>Мультидисциплинарная команда (МДК) состоит из специалистов, которые совместно оказывают комплексную поддержку всем членам семьи. В состав команды по психосоциальному сопровождению семьи ВИЧ-положительного ребенка, входят следующие специалисты: врач (детский инфекционист или педиатр СПИД - центра/детской поликлиники); психолог; социальный работник/ медсестра, другие специалисты и, по возможности, представитель НПО. План предоставления социально-психологических услуг клиенту предусматривает, что каждый специалист выполняет определенные действия в срок, определенный планом, и следит за достижением конкретных результатов.</w:t>
      </w:r>
    </w:p>
    <w:p w14:paraId="62476A05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68BB3AF9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Создание МДК с функциональными обязанностями каждого члена МДК.</w:t>
      </w:r>
    </w:p>
    <w:p w14:paraId="71D257A4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Проведение картирования доступных ресурсов.</w:t>
      </w:r>
    </w:p>
    <w:p w14:paraId="2D793214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Информация о тренингах и конференциях, посещаемых специалистами МДК: название мероприятия, в качестве кого принял участие.</w:t>
      </w:r>
    </w:p>
    <w:p w14:paraId="1D82FAB7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Участие члена МДК в проведении начальной полной оценки семьи.</w:t>
      </w:r>
    </w:p>
    <w:p w14:paraId="44D902F7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Оценка реализации плана предоставления социально-психологических услуг конкретной семье в качестве контроля по выполнению плана и достигнутых результатов не реже 1 раза в 6 месяцев.</w:t>
      </w:r>
    </w:p>
    <w:p w14:paraId="54539851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Перечень партнеров - НПО, службы по вопросам сексуального здоровья, совместно проделанная работа и планы на ближайшие 6 месяцев/1 год.</w:t>
      </w:r>
    </w:p>
    <w:p w14:paraId="26074C6B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Вовлечение детей и их семей, а также специалистов НПО и общеобразовательных школ в совместную работу при оказании интегрированных услуг.</w:t>
      </w:r>
    </w:p>
    <w:p w14:paraId="010B7B6B" w14:textId="77777777" w:rsidR="003151AF" w:rsidRDefault="003151AF" w:rsidP="003151AF">
      <w:pPr>
        <w:autoSpaceDE w:val="0"/>
        <w:autoSpaceDN w:val="0"/>
        <w:ind w:firstLine="397"/>
        <w:jc w:val="both"/>
      </w:pPr>
      <w:r>
        <w:t>В школах, в которых учатся дети с ВИЧ, рекомендуется проводить превентивную работу по противодействию стигме по вопросам ВИЧ-инфекции. Информационные акции рекомендуется проводить отдельно для преподавательского состава, отдельно для учеников. Формы проведения могут быть в виде классных часов, тематических диктантов, дебатов, викторин, форумов и так далее. Не разглашая факт учебы в данной школе ребенка с ВИЧ, в игровой форме рекомендуется информировать учащихся о путях передачи ВИЧ, о том, как ВИЧ не передается, о толерантном отношении к людям, живущим с ВИЧ. Информационные акции в школах рекомендуется проводить не реже 1 раза в год с активным участием школьной медсестры.</w:t>
      </w:r>
    </w:p>
    <w:p w14:paraId="308A637B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48173496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Ежегодный конфиденциальный опрос детей и подростков с ВИЧ и их семей по фактам дискриминации в образовательных учреждениях.</w:t>
      </w:r>
    </w:p>
    <w:p w14:paraId="3D4927BC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Проведенные мероприятия с образовательными учреждениями, в том числе совместно с НПО.</w:t>
      </w:r>
    </w:p>
    <w:p w14:paraId="3A863329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Поддержка детей и подростков с ВИЧ сверстниками.</w:t>
      </w:r>
    </w:p>
    <w:p w14:paraId="496579E5" w14:textId="77777777" w:rsidR="003151AF" w:rsidRDefault="003151AF" w:rsidP="003151AF">
      <w:pPr>
        <w:autoSpaceDE w:val="0"/>
        <w:autoSpaceDN w:val="0"/>
        <w:ind w:firstLine="397"/>
        <w:jc w:val="both"/>
      </w:pPr>
      <w:r>
        <w:t>Организация группы поддержки, под руководством взрослого человека, обученного работе с подростками, обычно это психолог. Затем группа поддержки трансформируется в группу взаимопомощи. Рекомендуемые темы для обсуждения: жизнь с ВИЧ, принятие диагноза, разговор с друзьями о статусе, важность и необходимость соблюдения режима терапии (приверженность). Рекомендуется проводить психологические тренинги в группах взаимопомощи на повышение самооценки подростков, на улучшение коммуникативных навыков, на улучшение когнитивных процессов, и развлекательные игры, направленные на повышение позитивного настроя, включать упражнения на тему ВИЧ.</w:t>
      </w:r>
    </w:p>
    <w:p w14:paraId="55022367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4E14FEC2" w14:textId="77777777" w:rsidR="003151AF" w:rsidRDefault="003151AF" w:rsidP="003151AF">
      <w:pPr>
        <w:autoSpaceDE w:val="0"/>
        <w:autoSpaceDN w:val="0"/>
        <w:ind w:firstLine="397"/>
        <w:jc w:val="both"/>
      </w:pPr>
      <w:r>
        <w:lastRenderedPageBreak/>
        <w:t>- Наличие групп поддержки и/или взаимопомощи.</w:t>
      </w:r>
    </w:p>
    <w:p w14:paraId="167E383D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Наличие образовательной программы группы.</w:t>
      </w:r>
    </w:p>
    <w:p w14:paraId="034034E3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Оценка качества работы группы (регулярность собраний, обсуждаемые темы).</w:t>
      </w:r>
    </w:p>
    <w:p w14:paraId="513988D5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молодых людей, посещающих группу, регулярность посещения группы каждым участником, в том числе очно и онлайн.</w:t>
      </w:r>
    </w:p>
    <w:p w14:paraId="27433F34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Защита детей с ВИЧ. Интегрированное ведение кейс-менеджмента.</w:t>
      </w:r>
    </w:p>
    <w:p w14:paraId="59DC86FB" w14:textId="77777777" w:rsidR="003151AF" w:rsidRDefault="003151AF" w:rsidP="003151AF">
      <w:pPr>
        <w:autoSpaceDE w:val="0"/>
        <w:autoSpaceDN w:val="0"/>
        <w:ind w:firstLine="397"/>
        <w:jc w:val="both"/>
      </w:pPr>
      <w:r>
        <w:t>Статья 137 Уголовного Кодекса Республики Казахстан содержит санкцию за неисполнение или ненадлежащее исполнение обязанностей по воспитанию несовершеннолетнего родителем или иным лицом, на которого возложены эти обязанности, а равно педагогом или другим работником учебного, воспитательного, лечебного или иного учреждения, обязанного осуществлять надзор за несовершеннолетним.</w:t>
      </w:r>
    </w:p>
    <w:p w14:paraId="7C3323E5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Алгоритм действий при фактах насилия над ребенком:</w:t>
      </w:r>
    </w:p>
    <w:p w14:paraId="50F50ACA" w14:textId="77777777" w:rsidR="003151AF" w:rsidRDefault="003151AF" w:rsidP="003151AF">
      <w:pPr>
        <w:autoSpaceDE w:val="0"/>
        <w:autoSpaceDN w:val="0"/>
        <w:ind w:firstLine="397"/>
        <w:jc w:val="both"/>
      </w:pPr>
      <w:r>
        <w:t>1. Задокументировать факты и обстоятельства, которые вызывают у вас тревогу в специальную форму;</w:t>
      </w:r>
    </w:p>
    <w:p w14:paraId="63ABD84C" w14:textId="77777777" w:rsidR="003151AF" w:rsidRDefault="003151AF" w:rsidP="003151AF">
      <w:pPr>
        <w:autoSpaceDE w:val="0"/>
        <w:autoSpaceDN w:val="0"/>
        <w:ind w:firstLine="397"/>
        <w:jc w:val="both"/>
      </w:pPr>
      <w:r>
        <w:t>2. Передать информацию в организацию ПМСП по месту прикрепления для проведения домашних визитов патронажной медсестры и социальным работником с целью оценки и выявления потребностей.</w:t>
      </w:r>
    </w:p>
    <w:p w14:paraId="5295D18C" w14:textId="77777777" w:rsidR="003151AF" w:rsidRDefault="003151AF" w:rsidP="003151AF">
      <w:pPr>
        <w:autoSpaceDE w:val="0"/>
        <w:autoSpaceDN w:val="0"/>
        <w:ind w:firstLine="397"/>
        <w:jc w:val="both"/>
      </w:pPr>
      <w:r>
        <w:t>3. Передать информацию и обсудить тревожные признаки со специалистом по защите прав ребенка (региональные органы опеки);</w:t>
      </w:r>
    </w:p>
    <w:p w14:paraId="5894BDF3" w14:textId="77777777" w:rsidR="003151AF" w:rsidRDefault="003151AF" w:rsidP="003151AF">
      <w:pPr>
        <w:autoSpaceDE w:val="0"/>
        <w:autoSpaceDN w:val="0"/>
        <w:ind w:firstLine="397"/>
        <w:jc w:val="both"/>
      </w:pPr>
      <w:r>
        <w:t>4. Инициировать комиссионное рассмотрение случая с оценкой риска для ребенка.</w:t>
      </w:r>
    </w:p>
    <w:p w14:paraId="5D48082A" w14:textId="77777777" w:rsidR="003151AF" w:rsidRDefault="003151AF" w:rsidP="003151AF">
      <w:pPr>
        <w:autoSpaceDE w:val="0"/>
        <w:autoSpaceDN w:val="0"/>
        <w:ind w:firstLine="397"/>
        <w:jc w:val="both"/>
      </w:pPr>
      <w:r>
        <w:t>5. При установлении факта насилия обратиться в полицию/органы опеки в течение первых 24 часов, при этом не нужно сообщать родителю, подозреваемому в насилии, за исключением подозрения на суицид у ребенка, подростка.</w:t>
      </w:r>
    </w:p>
    <w:p w14:paraId="2F6E1AE3" w14:textId="77777777" w:rsidR="003151AF" w:rsidRDefault="003151AF" w:rsidP="003151AF">
      <w:pPr>
        <w:autoSpaceDE w:val="0"/>
        <w:autoSpaceDN w:val="0"/>
        <w:ind w:firstLine="397"/>
        <w:jc w:val="both"/>
      </w:pPr>
      <w:r>
        <w:t>6. Решение по изъятию ребенка из семьи, определению его/ее на опеку к родственникам или в государственное учреждение должно приниматься компетентными органами (органами опеки и попечительства).</w:t>
      </w:r>
    </w:p>
    <w:p w14:paraId="2E0A31F6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582B6662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Журнал регистрации случаев, в котором кратко описывается ситуация, связанная с насилием, а также кратко перечисляются близкое окружение ребенка или подростка;</w:t>
      </w:r>
    </w:p>
    <w:p w14:paraId="1403AA67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Составление плана действий каждого специалиста, участвующего в разборе данного кейса (психолог, социальный работник, юрист, врач);</w:t>
      </w:r>
    </w:p>
    <w:p w14:paraId="6BACDB00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Протокол поведения и действий сотрудников Центра (конфиденциальность, мониторинг, реагирование, направление случаев) в случае выявления жестокого обращения;</w:t>
      </w:r>
    </w:p>
    <w:p w14:paraId="615A87EF" w14:textId="77777777" w:rsidR="003151AF" w:rsidRDefault="003151AF" w:rsidP="003151AF">
      <w:pPr>
        <w:autoSpaceDE w:val="0"/>
        <w:autoSpaceDN w:val="0"/>
        <w:ind w:firstLine="397"/>
        <w:jc w:val="both"/>
      </w:pPr>
      <w:r>
        <w:t>- Телефоны специалистов органов опеки и попечительства, адреса организаций по перенаправлению семьи и ребенка для оказания поддержки в случае жестокого обращения (описание организаций, руководителей, координаторов, контактных данных, часы работы);</w:t>
      </w:r>
    </w:p>
    <w:p w14:paraId="691DBC41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Отчеты по мониторингу случаев (ежеквартальные, годовые).</w:t>
      </w:r>
    </w:p>
    <w:p w14:paraId="34CC010D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Отчеты по ведению случаев командой специалистов (протоколы встреч по рассмотрению случая, комплексная оценка потребностей ребенка, план сопровождения ребенка и семьи);</w:t>
      </w:r>
    </w:p>
    <w:p w14:paraId="115117BB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Количество зарегистрированных случаев, количество планов сопровождения ребенка и семьи, где был выявлен и подтвержден случай жестокого обращения (ежеквартально, годовой).</w:t>
      </w:r>
    </w:p>
    <w:p w14:paraId="6F0829C3" w14:textId="77777777" w:rsidR="003151AF" w:rsidRDefault="003151AF" w:rsidP="003151AF">
      <w:pPr>
        <w:autoSpaceDE w:val="0"/>
        <w:autoSpaceDN w:val="0"/>
        <w:ind w:firstLine="397"/>
        <w:jc w:val="both"/>
      </w:pPr>
      <w:r>
        <w:rPr>
          <w:b/>
          <w:bCs/>
        </w:rPr>
        <w:t>Супервизия и поддержка персонала.</w:t>
      </w:r>
    </w:p>
    <w:p w14:paraId="27370CF6" w14:textId="77777777" w:rsidR="003151AF" w:rsidRDefault="003151AF" w:rsidP="003151AF">
      <w:pPr>
        <w:autoSpaceDE w:val="0"/>
        <w:autoSpaceDN w:val="0"/>
        <w:ind w:firstLine="397"/>
        <w:jc w:val="both"/>
      </w:pPr>
      <w:r>
        <w:t xml:space="preserve">Поддерживающая супервизия является трехуровневой системой: </w:t>
      </w:r>
    </w:p>
    <w:p w14:paraId="05F8FB3C" w14:textId="77777777" w:rsidR="003151AF" w:rsidRDefault="003151AF" w:rsidP="003151AF">
      <w:pPr>
        <w:autoSpaceDE w:val="0"/>
        <w:autoSpaceDN w:val="0"/>
        <w:ind w:firstLine="397"/>
        <w:jc w:val="both"/>
      </w:pPr>
      <w:r>
        <w:t xml:space="preserve">- самокураторство/кураторство коллег, внутренняя супервизия и внешняя супервизия. </w:t>
      </w:r>
    </w:p>
    <w:p w14:paraId="3BCAD350" w14:textId="77777777" w:rsidR="003151AF" w:rsidRDefault="003151AF" w:rsidP="003151AF">
      <w:pPr>
        <w:autoSpaceDE w:val="0"/>
        <w:autoSpaceDN w:val="0"/>
        <w:ind w:firstLine="397"/>
        <w:jc w:val="both"/>
      </w:pPr>
      <w:r>
        <w:t>Индикаторы:</w:t>
      </w:r>
    </w:p>
    <w:p w14:paraId="6F196579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Журнал супервизии.</w:t>
      </w:r>
    </w:p>
    <w:p w14:paraId="3C56C2C0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Протоколы встреч мультидисциплинарной команды.</w:t>
      </w:r>
    </w:p>
    <w:p w14:paraId="677A19E3" w14:textId="77777777" w:rsidR="003151AF" w:rsidRDefault="003151AF" w:rsidP="003151AF">
      <w:pPr>
        <w:autoSpaceDE w:val="0"/>
        <w:autoSpaceDN w:val="0"/>
        <w:ind w:firstLine="397"/>
        <w:jc w:val="both"/>
      </w:pPr>
      <w:r>
        <w:t>- Включение в ежегодный отчет результаты встреч по супервизии.</w:t>
      </w:r>
    </w:p>
    <w:p w14:paraId="52400702" w14:textId="77777777" w:rsidR="003151AF" w:rsidRDefault="003151AF" w:rsidP="003151AF">
      <w:pPr>
        <w:autoSpaceDE w:val="0"/>
        <w:autoSpaceDN w:val="0"/>
        <w:ind w:firstLine="397"/>
        <w:jc w:val="both"/>
      </w:pPr>
      <w:r>
        <w:t> </w:t>
      </w:r>
    </w:p>
    <w:p w14:paraId="7D59C6FE" w14:textId="77777777" w:rsidR="003151AF" w:rsidRDefault="003151AF" w:rsidP="003151AF">
      <w:pPr>
        <w:autoSpaceDE w:val="0"/>
        <w:autoSpaceDN w:val="0"/>
        <w:ind w:firstLine="397"/>
        <w:jc w:val="both"/>
      </w:pPr>
      <w:r>
        <w:t> </w:t>
      </w:r>
    </w:p>
    <w:p w14:paraId="7833F45B" w14:textId="77777777" w:rsidR="003151AF" w:rsidRDefault="003151AF" w:rsidP="003151AF">
      <w:pPr>
        <w:autoSpaceDE w:val="0"/>
        <w:autoSpaceDN w:val="0"/>
        <w:ind w:firstLine="397"/>
        <w:jc w:val="center"/>
      </w:pPr>
      <w:r>
        <w:t> </w:t>
      </w:r>
    </w:p>
    <w:p w14:paraId="2BBB2E4C" w14:textId="77777777" w:rsidR="003151AF" w:rsidRPr="003151AF" w:rsidRDefault="003151AF" w:rsidP="003151AF">
      <w:pPr>
        <w:ind w:firstLine="708"/>
      </w:pPr>
    </w:p>
    <w:sectPr w:rsidR="003151AF" w:rsidRPr="003151AF" w:rsidSect="009D4C87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5569" w14:textId="77777777" w:rsidR="005D79CB" w:rsidRDefault="005D79CB" w:rsidP="009D4C87">
      <w:r>
        <w:separator/>
      </w:r>
    </w:p>
  </w:endnote>
  <w:endnote w:type="continuationSeparator" w:id="0">
    <w:p w14:paraId="4DBCAE41" w14:textId="77777777" w:rsidR="005D79CB" w:rsidRDefault="005D79CB" w:rsidP="009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FrutigerLTPro-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F4C4" w14:textId="77777777" w:rsidR="005D79CB" w:rsidRDefault="005D79CB" w:rsidP="009D4C87">
      <w:r>
        <w:separator/>
      </w:r>
    </w:p>
  </w:footnote>
  <w:footnote w:type="continuationSeparator" w:id="0">
    <w:p w14:paraId="74FBF35C" w14:textId="77777777" w:rsidR="005D79CB" w:rsidRDefault="005D79CB" w:rsidP="009D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825"/>
    <w:multiLevelType w:val="hybridMultilevel"/>
    <w:tmpl w:val="6BE0EA82"/>
    <w:lvl w:ilvl="0" w:tplc="C03A1E80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5279D6"/>
    <w:multiLevelType w:val="multilevel"/>
    <w:tmpl w:val="9D26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 w16cid:durableId="79062226">
    <w:abstractNumId w:val="0"/>
  </w:num>
  <w:num w:numId="2" w16cid:durableId="132010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C7"/>
    <w:rsid w:val="0000169D"/>
    <w:rsid w:val="00046167"/>
    <w:rsid w:val="000901E9"/>
    <w:rsid w:val="000C67FD"/>
    <w:rsid w:val="000F6C1B"/>
    <w:rsid w:val="002D5AB2"/>
    <w:rsid w:val="003151AF"/>
    <w:rsid w:val="003A1C5E"/>
    <w:rsid w:val="003E3F2D"/>
    <w:rsid w:val="004267C7"/>
    <w:rsid w:val="00435E91"/>
    <w:rsid w:val="004419DC"/>
    <w:rsid w:val="004B2691"/>
    <w:rsid w:val="005C06E1"/>
    <w:rsid w:val="005D79CB"/>
    <w:rsid w:val="00681F1D"/>
    <w:rsid w:val="0072285B"/>
    <w:rsid w:val="0079371C"/>
    <w:rsid w:val="007D37AB"/>
    <w:rsid w:val="007E1AF9"/>
    <w:rsid w:val="00813616"/>
    <w:rsid w:val="008313D7"/>
    <w:rsid w:val="008332D8"/>
    <w:rsid w:val="00844048"/>
    <w:rsid w:val="008B4B87"/>
    <w:rsid w:val="009753CB"/>
    <w:rsid w:val="009937EE"/>
    <w:rsid w:val="009D4C87"/>
    <w:rsid w:val="009F2A0B"/>
    <w:rsid w:val="00A140CF"/>
    <w:rsid w:val="00A570AE"/>
    <w:rsid w:val="00B0453C"/>
    <w:rsid w:val="00B26F39"/>
    <w:rsid w:val="00B26F4C"/>
    <w:rsid w:val="00B52EFF"/>
    <w:rsid w:val="00BF0833"/>
    <w:rsid w:val="00C10981"/>
    <w:rsid w:val="00C37C64"/>
    <w:rsid w:val="00C40854"/>
    <w:rsid w:val="00C5368F"/>
    <w:rsid w:val="00CB25B4"/>
    <w:rsid w:val="00CC17E1"/>
    <w:rsid w:val="00CC1EC9"/>
    <w:rsid w:val="00CC5D56"/>
    <w:rsid w:val="00D44FB4"/>
    <w:rsid w:val="00D66D9A"/>
    <w:rsid w:val="00F53443"/>
    <w:rsid w:val="00FF409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5E17"/>
  <w15:chartTrackingRefBased/>
  <w15:docId w15:val="{650BF923-22D9-480A-B491-F428262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5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285B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72285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unhideWhenUsed/>
    <w:rsid w:val="0072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4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C8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C8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9D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7214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F409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556085" TargetMode="External"/><Relationship Id="rId18" Type="http://schemas.openxmlformats.org/officeDocument/2006/relationships/hyperlink" Target="http://online.zakon.kz/Document/?doc_id=35556085" TargetMode="External"/><Relationship Id="rId26" Type="http://schemas.openxmlformats.org/officeDocument/2006/relationships/image" Target="https://prod-prg-document-store-api.azurewebsites.net/api/DocumentObject/GetImageAsync?ImageId=42081737" TargetMode="External"/><Relationship Id="rId21" Type="http://schemas.openxmlformats.org/officeDocument/2006/relationships/hyperlink" Target="http://online.zakon.kz/Document/?doc_id=39764089" TargetMode="External"/><Relationship Id="rId34" Type="http://schemas.openxmlformats.org/officeDocument/2006/relationships/image" Target="https://prod-prg-document-store-api.azurewebsites.net/api/DocumentObject/GetImageAsync?ImageId=42081741" TargetMode="External"/><Relationship Id="rId7" Type="http://schemas.openxmlformats.org/officeDocument/2006/relationships/hyperlink" Target="http://online.zakon.kz/Document/?doc_id=39661520" TargetMode="External"/><Relationship Id="rId12" Type="http://schemas.openxmlformats.org/officeDocument/2006/relationships/hyperlink" Target="mailto:journals.permissions@oup.com" TargetMode="External"/><Relationship Id="rId17" Type="http://schemas.openxmlformats.org/officeDocument/2006/relationships/hyperlink" Target="http://online.zakon.kz/Document/?doc_id=35556085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doc_id=35556085" TargetMode="External"/><Relationship Id="rId20" Type="http://schemas.openxmlformats.org/officeDocument/2006/relationships/hyperlink" Target="http://online.zakon.kz/Document/?doc_id=34545994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5556085" TargetMode="External"/><Relationship Id="rId24" Type="http://schemas.openxmlformats.org/officeDocument/2006/relationships/image" Target="https://prod-prg-document-store-api.azurewebsites.net/api/DocumentObject/GetImageAsync?ImageId=42081736" TargetMode="External"/><Relationship Id="rId32" Type="http://schemas.openxmlformats.org/officeDocument/2006/relationships/image" Target="https://prod-prg-document-store-api.azurewebsites.net/api/DocumentObject/GetImageAsync?ImageId=4208174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5556085" TargetMode="External"/><Relationship Id="rId23" Type="http://schemas.openxmlformats.org/officeDocument/2006/relationships/image" Target="media/image2.jpeg"/><Relationship Id="rId28" Type="http://schemas.openxmlformats.org/officeDocument/2006/relationships/image" Target="https://prod-prg-document-store-api.azurewebsites.net/api/DocumentObject/GetImageAsync?ImageId=42081738" TargetMode="External"/><Relationship Id="rId36" Type="http://schemas.openxmlformats.org/officeDocument/2006/relationships/image" Target="https://prod-prg-document-store-api.azurewebsites.net/api/DocumentObject/GetImageAsync?ImageId=42081742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://online.zakon.kz/Document/?doc_id=35128054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online.zakon.kz/Document/?doc_id=35556085" TargetMode="External"/><Relationship Id="rId22" Type="http://schemas.openxmlformats.org/officeDocument/2006/relationships/hyperlink" Target="http://online.zakon.kz/Document/?doc_id=36719425" TargetMode="External"/><Relationship Id="rId27" Type="http://schemas.openxmlformats.org/officeDocument/2006/relationships/image" Target="media/image4.jpeg"/><Relationship Id="rId30" Type="http://schemas.openxmlformats.org/officeDocument/2006/relationships/image" Target="https://prod-prg-document-store-api.azurewebsites.net/api/DocumentObject/GetImageAsync?ImageId=42081739" TargetMode="External"/><Relationship Id="rId35" Type="http://schemas.openxmlformats.org/officeDocument/2006/relationships/image" Target="media/image8.jpeg"/><Relationship Id="rId8" Type="http://schemas.openxmlformats.org/officeDocument/2006/relationships/hyperlink" Target="http://online.zakon.kz/Document/?doc_id=309276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36</Pages>
  <Words>12780</Words>
  <Characters>72848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Кужелева</dc:creator>
  <cp:keywords/>
  <dc:description/>
  <cp:lastModifiedBy>Сайранкуль Касымбекова</cp:lastModifiedBy>
  <cp:revision>40</cp:revision>
  <dcterms:created xsi:type="dcterms:W3CDTF">2022-08-24T09:25:00Z</dcterms:created>
  <dcterms:modified xsi:type="dcterms:W3CDTF">2022-10-04T07:53:00Z</dcterms:modified>
</cp:coreProperties>
</file>