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315" w:lineRule="atLeast"/>
        <w:jc w:val="center"/>
        <w:textAlignment w:val="baseline"/>
        <w:rPr>
          <w:rFonts w:ascii="inherit" w:hAnsi="inherit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inherit" w:hAnsi="inherit" w:eastAsia="Times New Roman" w:cs="Times New Roman"/>
          <w:b/>
          <w:bCs/>
          <w:color w:val="000000"/>
          <w:sz w:val="28"/>
          <w:szCs w:val="28"/>
          <w:lang w:eastAsia="ru-RU"/>
        </w:rPr>
        <w:t>АНАЛИТИЧЕСКАЯ СПРАВКА</w:t>
      </w:r>
    </w:p>
    <w:p>
      <w:pPr>
        <w:shd w:val="clear" w:color="auto" w:fill="FFFFFF"/>
        <w:spacing w:after="0" w:line="315" w:lineRule="atLeast"/>
        <w:jc w:val="center"/>
        <w:textAlignment w:val="baseline"/>
        <w:rPr>
          <w:rFonts w:ascii="inherit" w:hAnsi="inherit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inherit" w:hAnsi="inherit" w:eastAsia="Times New Roman" w:cs="Times New Roman"/>
          <w:b/>
          <w:bCs/>
          <w:color w:val="000000"/>
          <w:sz w:val="28"/>
          <w:szCs w:val="28"/>
          <w:lang w:eastAsia="ru-RU"/>
        </w:rPr>
        <w:t>по проведенному анализу коррупционных рисков Республиканского государственного предприятия на праве хозяйственного ведения «Казахский научный центр дерматологии и инфекционных заболеваний» Министерства здравоохранения Республики Казахстан</w:t>
      </w:r>
    </w:p>
    <w:p>
      <w:pPr>
        <w:shd w:val="clear" w:color="auto" w:fill="FFFFFF"/>
        <w:spacing w:after="0" w:line="315" w:lineRule="atLeast"/>
        <w:jc w:val="both"/>
        <w:textAlignment w:val="baseline"/>
        <w:rPr>
          <w:rFonts w:ascii="inherit" w:hAnsi="inherit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315" w:lineRule="atLeast"/>
        <w:jc w:val="both"/>
        <w:textAlignment w:val="baseline"/>
        <w:rPr>
          <w:rFonts w:ascii="inherit" w:hAnsi="inherit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inherit" w:hAnsi="inherit" w:eastAsia="Times New Roman" w:cs="Times New Roman"/>
          <w:color w:val="000000"/>
          <w:sz w:val="28"/>
          <w:szCs w:val="28"/>
          <w:lang w:eastAsia="ru-RU"/>
        </w:rPr>
        <w:t xml:space="preserve">город Алматы                                                                           </w:t>
      </w:r>
      <w:r>
        <w:rPr>
          <w:rFonts w:hint="default" w:ascii="inherit" w:hAnsi="inherit" w:eastAsia="Times New Roman" w:cs="Times New Roman"/>
          <w:color w:val="000000"/>
          <w:sz w:val="28"/>
          <w:szCs w:val="28"/>
          <w:lang w:val="en-US" w:eastAsia="ru-RU"/>
        </w:rPr>
        <w:t>25 марта</w:t>
      </w:r>
      <w:r>
        <w:rPr>
          <w:rFonts w:ascii="inherit" w:hAnsi="inherit" w:eastAsia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hint="default" w:ascii="inherit" w:hAnsi="inherit" w:eastAsia="Times New Roman" w:cs="Times New Roman"/>
          <w:color w:val="000000"/>
          <w:sz w:val="28"/>
          <w:szCs w:val="28"/>
          <w:lang w:val="en-US" w:eastAsia="ru-RU"/>
        </w:rPr>
        <w:t>2</w:t>
      </w:r>
      <w:r>
        <w:rPr>
          <w:rFonts w:ascii="inherit" w:hAnsi="inherit" w:eastAsia="Times New Roman" w:cs="Times New Roman"/>
          <w:color w:val="000000"/>
          <w:sz w:val="28"/>
          <w:szCs w:val="28"/>
          <w:lang w:eastAsia="ru-RU"/>
        </w:rPr>
        <w:t xml:space="preserve"> года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inherit" w:hAnsi="inherit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inherit" w:hAnsi="inherit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inherit" w:hAnsi="inherit" w:eastAsia="Times New Roman" w:cs="Times New Roman"/>
          <w:color w:val="000000"/>
          <w:sz w:val="28"/>
          <w:szCs w:val="28"/>
          <w:lang w:eastAsia="ru-RU"/>
        </w:rPr>
        <w:t>Приказом</w:t>
      </w:r>
      <w:r>
        <w:rPr>
          <w:rFonts w:hint="default" w:ascii="inherit" w:hAnsi="inherit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inherit" w:hAnsi="inherit" w:eastAsia="Times New Roman" w:cs="Times New Roman"/>
          <w:color w:val="000000"/>
          <w:sz w:val="28"/>
          <w:szCs w:val="28"/>
          <w:lang w:eastAsia="ru-RU"/>
        </w:rPr>
        <w:t xml:space="preserve">директора </w:t>
      </w:r>
      <w:r>
        <w:rPr>
          <w:rFonts w:ascii="inherit" w:hAnsi="inherit" w:eastAsia="Times New Roman" w:cs="Times New Roman"/>
          <w:bCs/>
          <w:color w:val="000000"/>
          <w:sz w:val="28"/>
          <w:szCs w:val="28"/>
          <w:lang w:eastAsia="ru-RU"/>
        </w:rPr>
        <w:t>Республиканского государственного предприятия на праве хозяйственного ведения «Казахский научный центр дерматологии и инфекционных заболеваний» Министерства здравоохранения Республики Казахстан</w:t>
      </w:r>
      <w:r>
        <w:rPr>
          <w:rFonts w:ascii="inherit" w:hAnsi="inherit"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inherit" w:hAnsi="inherit" w:eastAsia="Times New Roman" w:cs="Times New Roman"/>
          <w:color w:val="000000"/>
          <w:sz w:val="28"/>
          <w:szCs w:val="28"/>
          <w:lang w:eastAsia="ru-RU"/>
        </w:rPr>
        <w:t xml:space="preserve">(далее – Предприятие) от </w:t>
      </w:r>
      <w:r>
        <w:rPr>
          <w:rFonts w:hint="default" w:ascii="inherit" w:hAnsi="inherit" w:eastAsia="Times New Roman" w:cs="Times New Roman"/>
          <w:color w:val="000000"/>
          <w:sz w:val="28"/>
          <w:szCs w:val="28"/>
          <w:lang w:val="en-US" w:eastAsia="ru-RU"/>
        </w:rPr>
        <w:t>25 февраля</w:t>
      </w:r>
      <w:r>
        <w:rPr>
          <w:rFonts w:ascii="inherit" w:hAnsi="inherit" w:eastAsia="Times New Roman" w:cs="Times New Roman"/>
          <w:color w:val="000000"/>
          <w:sz w:val="28"/>
          <w:szCs w:val="28"/>
          <w:highlight w:val="none"/>
          <w:lang w:eastAsia="ru-RU"/>
        </w:rPr>
        <w:t xml:space="preserve"> 202</w:t>
      </w:r>
      <w:r>
        <w:rPr>
          <w:rFonts w:hint="default" w:ascii="inherit" w:hAnsi="inherit" w:eastAsia="Times New Roman" w:cs="Times New Roman"/>
          <w:color w:val="000000"/>
          <w:sz w:val="28"/>
          <w:szCs w:val="28"/>
          <w:highlight w:val="none"/>
          <w:lang w:val="en-US" w:eastAsia="ru-RU"/>
        </w:rPr>
        <w:t>2</w:t>
      </w:r>
      <w:r>
        <w:rPr>
          <w:rFonts w:ascii="inherit" w:hAnsi="inherit" w:eastAsia="Times New Roman" w:cs="Times New Roman"/>
          <w:color w:val="000000"/>
          <w:sz w:val="28"/>
          <w:szCs w:val="28"/>
          <w:highlight w:val="none"/>
          <w:lang w:eastAsia="ru-RU"/>
        </w:rPr>
        <w:t xml:space="preserve"> года</w:t>
      </w:r>
      <w:r>
        <w:rPr>
          <w:rFonts w:ascii="inherit" w:hAnsi="inherit" w:eastAsia="Times New Roman" w:cs="Times New Roman"/>
          <w:color w:val="000000"/>
          <w:sz w:val="28"/>
          <w:szCs w:val="28"/>
          <w:highlight w:val="none"/>
          <w:shd w:val="clear"/>
          <w:lang w:eastAsia="ru-RU"/>
        </w:rPr>
        <w:t xml:space="preserve"> № </w:t>
      </w:r>
      <w:r>
        <w:rPr>
          <w:rFonts w:hint="default" w:ascii="inherit" w:hAnsi="inherit" w:eastAsia="Times New Roman" w:cs="Times New Roman"/>
          <w:color w:val="000000"/>
          <w:sz w:val="28"/>
          <w:szCs w:val="28"/>
          <w:highlight w:val="none"/>
          <w:shd w:val="clear"/>
          <w:lang w:val="en-US" w:eastAsia="ru-RU"/>
        </w:rPr>
        <w:t>64-п</w:t>
      </w:r>
      <w:r>
        <w:rPr>
          <w:rFonts w:ascii="inherit" w:hAnsi="inherit" w:eastAsia="Times New Roman" w:cs="Times New Roman"/>
          <w:color w:val="000000"/>
          <w:sz w:val="28"/>
          <w:szCs w:val="28"/>
          <w:highlight w:val="none"/>
          <w:shd w:val="clear"/>
          <w:lang w:eastAsia="ru-RU"/>
        </w:rPr>
        <w:t xml:space="preserve"> </w:t>
      </w:r>
      <w:r>
        <w:rPr>
          <w:rFonts w:ascii="inherit" w:hAnsi="inherit" w:eastAsia="Times New Roman" w:cs="Times New Roman"/>
          <w:color w:val="000000"/>
          <w:sz w:val="28"/>
          <w:szCs w:val="28"/>
          <w:lang w:eastAsia="ru-RU"/>
        </w:rPr>
        <w:t>для проведения внутреннего анализа коррупционных рисков создана рабочая группа в следующем составе: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inherit" w:hAnsi="inherit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inherit" w:hAnsi="inherit" w:eastAsia="Times New Roman" w:cs="Times New Roman"/>
          <w:bCs/>
          <w:color w:val="000000"/>
          <w:sz w:val="28"/>
          <w:szCs w:val="28"/>
          <w:lang w:eastAsia="ru-RU"/>
        </w:rPr>
        <w:t>Петренко И.И. – заместитель директора по организационно-методической и противоэпидемической работе (</w:t>
      </w:r>
      <w:r>
        <w:rPr>
          <w:rFonts w:ascii="inherit" w:hAnsi="inherit" w:eastAsia="Times New Roman" w:cs="Times New Roman"/>
          <w:bCs/>
          <w:i/>
          <w:color w:val="000000"/>
          <w:sz w:val="28"/>
          <w:szCs w:val="28"/>
          <w:lang w:eastAsia="ru-RU"/>
        </w:rPr>
        <w:t>руководитель группы</w:t>
      </w:r>
      <w:r>
        <w:rPr>
          <w:rFonts w:ascii="inherit" w:hAnsi="inherit" w:eastAsia="Times New Roman" w:cs="Times New Roman"/>
          <w:bCs/>
          <w:color w:val="000000"/>
          <w:sz w:val="28"/>
          <w:szCs w:val="28"/>
          <w:lang w:eastAsia="ru-RU"/>
        </w:rPr>
        <w:t>);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inherit" w:hAnsi="inherit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Темиржанова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А.Б. </w:t>
      </w:r>
      <w:r>
        <w:rPr>
          <w:rFonts w:ascii="inherit" w:hAnsi="inherit" w:eastAsia="Times New Roman" w:cs="Times New Roman"/>
          <w:bCs/>
          <w:color w:val="000000"/>
          <w:sz w:val="28"/>
          <w:szCs w:val="28"/>
          <w:lang w:eastAsia="ru-RU"/>
        </w:rPr>
        <w:t>– р</w:t>
      </w:r>
      <w:r>
        <w:rPr>
          <w:rFonts w:ascii="Times New Roman" w:hAnsi="Times New Roman" w:cs="Times New Roman"/>
          <w:sz w:val="28"/>
          <w:szCs w:val="28"/>
          <w:lang w:val="ru-RU"/>
        </w:rPr>
        <w:t>уководитель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службы внутреннего аудита</w:t>
      </w:r>
      <w:r>
        <w:rPr>
          <w:rFonts w:ascii="inherit" w:hAnsi="inherit" w:eastAsia="Times New Roman" w:cs="Times New Roman"/>
          <w:bCs/>
          <w:color w:val="000000"/>
          <w:sz w:val="28"/>
          <w:szCs w:val="28"/>
          <w:lang w:eastAsia="ru-RU"/>
        </w:rPr>
        <w:t>;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inherit" w:hAnsi="inherit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Мухаметкалиева А.Т.</w:t>
      </w:r>
      <w:r>
        <w:rPr>
          <w:rFonts w:ascii="inherit" w:hAnsi="inherit" w:eastAsia="Times New Roman" w:cs="Times New Roman"/>
          <w:bCs/>
          <w:color w:val="000000"/>
          <w:sz w:val="28"/>
          <w:szCs w:val="28"/>
          <w:lang w:eastAsia="ru-RU"/>
        </w:rPr>
        <w:t xml:space="preserve"> – н</w:t>
      </w:r>
      <w:r>
        <w:rPr>
          <w:rFonts w:ascii="Times New Roman" w:hAnsi="Times New Roman" w:cs="Times New Roman"/>
          <w:sz w:val="28"/>
          <w:szCs w:val="28"/>
          <w:lang w:val="kk-KZ"/>
        </w:rPr>
        <w:t>ачальник отдела управления персоналом, государственных закупок и правового обеспечения</w:t>
      </w:r>
      <w:r>
        <w:rPr>
          <w:rFonts w:ascii="inherit" w:hAnsi="inherit" w:eastAsia="Times New Roman" w:cs="Times New Roman"/>
          <w:bCs/>
          <w:color w:val="000000"/>
          <w:sz w:val="28"/>
          <w:szCs w:val="28"/>
          <w:lang w:eastAsia="ru-RU"/>
        </w:rPr>
        <w:t>;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inherit" w:hAnsi="inherit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Джолдасов Е.Р.</w:t>
      </w:r>
      <w:r>
        <w:rPr>
          <w:rFonts w:ascii="inherit" w:hAnsi="inherit" w:eastAsia="Times New Roman" w:cs="Times New Roman"/>
          <w:bCs/>
          <w:color w:val="000000"/>
          <w:sz w:val="28"/>
          <w:szCs w:val="28"/>
          <w:lang w:eastAsia="ru-RU"/>
        </w:rPr>
        <w:t>– э</w:t>
      </w:r>
      <w:r>
        <w:rPr>
          <w:rFonts w:ascii="Times New Roman" w:hAnsi="Times New Roman" w:cs="Times New Roman"/>
          <w:sz w:val="28"/>
          <w:szCs w:val="28"/>
          <w:lang w:val="kk-KZ"/>
        </w:rPr>
        <w:t>кономист по финансовой работе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отдела планирования  и экономического анализа</w:t>
      </w:r>
      <w:r>
        <w:rPr>
          <w:rFonts w:ascii="inherit" w:hAnsi="inherit" w:eastAsia="Times New Roman" w:cs="Times New Roman"/>
          <w:bCs/>
          <w:color w:val="000000"/>
          <w:sz w:val="28"/>
          <w:szCs w:val="28"/>
          <w:lang w:eastAsia="ru-RU"/>
        </w:rPr>
        <w:t>;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inherit" w:hAnsi="inherit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inherit" w:hAnsi="inherit" w:eastAsia="Times New Roman" w:cs="Times New Roman"/>
          <w:bCs/>
          <w:color w:val="000000"/>
          <w:sz w:val="28"/>
          <w:szCs w:val="28"/>
          <w:lang w:eastAsia="ru-RU"/>
        </w:rPr>
        <w:t>Макымбаева М.Б. – юрисконсульт отдела управления персоналом, государственных закупок и правового обеспечения.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inherit" w:hAnsi="inherit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inherit" w:hAnsi="inherit" w:eastAsia="Times New Roman" w:cs="Times New Roman"/>
          <w:bCs/>
          <w:color w:val="000000"/>
          <w:sz w:val="28"/>
          <w:szCs w:val="28"/>
          <w:lang w:eastAsia="ru-RU"/>
        </w:rPr>
        <w:t xml:space="preserve">Срок проведения </w:t>
      </w:r>
      <w:r>
        <w:rPr>
          <w:rFonts w:ascii="inherit" w:hAnsi="inherit" w:eastAsia="Times New Roman" w:cs="Times New Roman"/>
          <w:color w:val="000000"/>
          <w:sz w:val="28"/>
          <w:szCs w:val="28"/>
          <w:lang w:eastAsia="ru-RU"/>
        </w:rPr>
        <w:t xml:space="preserve">внутреннего анализа коррупционных рисков до </w:t>
      </w:r>
      <w:r>
        <w:rPr>
          <w:rFonts w:hint="default" w:ascii="inherit" w:hAnsi="inherit" w:eastAsia="Times New Roman" w:cs="Times New Roman"/>
          <w:color w:val="000000"/>
          <w:sz w:val="28"/>
          <w:szCs w:val="28"/>
          <w:lang w:val="en-US" w:eastAsia="ru-RU"/>
        </w:rPr>
        <w:t>2</w:t>
      </w:r>
      <w:r>
        <w:rPr>
          <w:rFonts w:ascii="inherit" w:hAnsi="inherit" w:eastAsia="Times New Roman" w:cs="Times New Roman"/>
          <w:color w:val="000000"/>
          <w:sz w:val="28"/>
          <w:szCs w:val="28"/>
          <w:lang w:eastAsia="ru-RU"/>
        </w:rPr>
        <w:t>5 марта 202</w:t>
      </w:r>
      <w:r>
        <w:rPr>
          <w:rFonts w:hint="default" w:ascii="inherit" w:hAnsi="inherit" w:eastAsia="Times New Roman" w:cs="Times New Roman"/>
          <w:color w:val="000000"/>
          <w:sz w:val="28"/>
          <w:szCs w:val="28"/>
          <w:lang w:val="en-US" w:eastAsia="ru-RU"/>
        </w:rPr>
        <w:t>2</w:t>
      </w:r>
      <w:r>
        <w:rPr>
          <w:rFonts w:ascii="inherit" w:hAnsi="inherit" w:eastAsia="Times New Roman" w:cs="Times New Roman"/>
          <w:color w:val="000000"/>
          <w:sz w:val="28"/>
          <w:szCs w:val="28"/>
          <w:lang w:eastAsia="ru-RU"/>
        </w:rPr>
        <w:t xml:space="preserve"> года.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inherit" w:hAnsi="inherit" w:eastAsia="Times New Roman" w:cs="Times New Roman"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inherit" w:hAnsi="inherit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inherit" w:hAnsi="inherit" w:eastAsia="Times New Roman" w:cs="Times New Roman"/>
          <w:b/>
          <w:bCs/>
          <w:color w:val="000000"/>
          <w:sz w:val="28"/>
          <w:szCs w:val="28"/>
          <w:lang w:eastAsia="ru-RU"/>
        </w:rPr>
        <w:t>1.Управление персоналом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bCs/>
          <w:i/>
          <w:iCs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Cs/>
          <w:i/>
          <w:iCs/>
          <w:color w:val="000000"/>
          <w:sz w:val="28"/>
          <w:szCs w:val="28"/>
          <w:lang w:eastAsia="ru-RU"/>
        </w:rPr>
        <w:t>Коррупционные</w:t>
      </w:r>
      <w:r>
        <w:rPr>
          <w:rFonts w:hint="default" w:ascii="Times New Roman" w:hAnsi="Times New Roman" w:eastAsia="Times New Roman" w:cs="Times New Roman"/>
          <w:bCs/>
          <w:i/>
          <w:iCs/>
          <w:color w:val="000000"/>
          <w:sz w:val="28"/>
          <w:szCs w:val="28"/>
          <w:lang w:val="en-US" w:eastAsia="ru-RU"/>
        </w:rPr>
        <w:t xml:space="preserve"> риски отсутствуют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bCs/>
          <w:color w:val="000000"/>
          <w:sz w:val="28"/>
          <w:szCs w:val="28"/>
          <w:lang w:val="en-US" w:eastAsia="ru-RU"/>
        </w:rPr>
      </w:pP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2.Урегулирование конфликта интересов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bCs/>
          <w:i/>
          <w:iCs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Cs/>
          <w:i/>
          <w:iCs/>
          <w:color w:val="000000"/>
          <w:sz w:val="28"/>
          <w:szCs w:val="28"/>
          <w:lang w:eastAsia="ru-RU"/>
        </w:rPr>
        <w:t>Коррупционные</w:t>
      </w:r>
      <w:r>
        <w:rPr>
          <w:rFonts w:hint="default" w:ascii="Times New Roman" w:hAnsi="Times New Roman" w:eastAsia="Times New Roman" w:cs="Times New Roman"/>
          <w:bCs/>
          <w:i/>
          <w:iCs/>
          <w:color w:val="000000"/>
          <w:sz w:val="28"/>
          <w:szCs w:val="28"/>
          <w:lang w:val="en-US" w:eastAsia="ru-RU"/>
        </w:rPr>
        <w:t xml:space="preserve"> риски отсутствуют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b w:val="0"/>
          <w:bCs w:val="0"/>
          <w:i/>
          <w:iCs/>
          <w:color w:val="000000"/>
          <w:sz w:val="28"/>
          <w:szCs w:val="28"/>
          <w:lang w:val="en-US" w:eastAsia="ru-RU"/>
        </w:rPr>
      </w:pP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3. Оказание государственных услуг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bCs/>
          <w:i/>
          <w:iCs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Cs/>
          <w:i/>
          <w:iCs/>
          <w:color w:val="000000"/>
          <w:sz w:val="28"/>
          <w:szCs w:val="28"/>
          <w:lang w:eastAsia="ru-RU"/>
        </w:rPr>
        <w:t>Коррупционные</w:t>
      </w:r>
      <w:r>
        <w:rPr>
          <w:rFonts w:hint="default" w:ascii="Times New Roman" w:hAnsi="Times New Roman" w:eastAsia="Times New Roman" w:cs="Times New Roman"/>
          <w:bCs/>
          <w:i/>
          <w:iCs/>
          <w:color w:val="000000"/>
          <w:sz w:val="28"/>
          <w:szCs w:val="28"/>
          <w:lang w:val="en-US" w:eastAsia="ru-RU"/>
        </w:rPr>
        <w:t xml:space="preserve"> риски отсутствуют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4. Реализация разрешительных функций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eastAsia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/>
          <w:color w:val="000000"/>
          <w:sz w:val="28"/>
          <w:szCs w:val="28"/>
          <w:lang w:eastAsia="ru-RU"/>
        </w:rPr>
        <w:t>Отсутствуют разрешительные функции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eastAsia="Times New Roman" w:cs="Times New Roman"/>
          <w:bCs/>
          <w:i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5. Реализация контрольных функций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eastAsia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/>
          <w:color w:val="000000"/>
          <w:sz w:val="28"/>
          <w:szCs w:val="28"/>
          <w:lang w:eastAsia="ru-RU"/>
        </w:rPr>
        <w:t>Отсутствуют контрольные функции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6. Иные вопросы, вытекающие из организационно-управленческой деятельности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Организация работы по противодействию коррупции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b w:val="0"/>
          <w:bCs w:val="0"/>
          <w:i/>
          <w:iCs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color w:val="000000"/>
          <w:sz w:val="28"/>
          <w:szCs w:val="28"/>
          <w:lang w:eastAsia="ru-RU"/>
        </w:rPr>
        <w:t>Отсутствие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000000"/>
          <w:sz w:val="28"/>
          <w:szCs w:val="28"/>
          <w:lang w:val="en-US" w:eastAsia="ru-RU"/>
        </w:rPr>
        <w:t xml:space="preserve"> лица или подразделения, в чью компетенцию входят функции по противодействию коррупции.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 w:eastAsia="ru-RU"/>
        </w:rPr>
        <w:t>В соответствии с утвержденной организационной структурой Предприятия от 30 декабря 2021 года имеется должность комплаенс-офицера, однако в настоящее время данная должность вакантна.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 w:eastAsia="ru-RU"/>
        </w:rPr>
        <w:t>Необходимо принять меры по заполнению вакантной должности комплаенс-офицера Предприятия.</w:t>
      </w:r>
    </w:p>
    <w:p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Освоение и распределение бюджетных и финансовых средств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/>
          <w:i/>
          <w:iCs/>
          <w:sz w:val="28"/>
          <w:szCs w:val="28"/>
          <w:lang w:val="ru-RU"/>
        </w:rPr>
        <w:t>Наличие</w:t>
      </w: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ru-RU"/>
        </w:rPr>
        <w:t xml:space="preserve"> фактов нарушений при проведении внутреннего аудита Службой внутреннего аудита Предприятия:</w:t>
      </w:r>
    </w:p>
    <w:p>
      <w:pPr>
        <w:numPr>
          <w:ilvl w:val="0"/>
          <w:numId w:val="1"/>
        </w:numPr>
        <w:shd w:val="clear" w:color="auto" w:fill="FFFFFF"/>
        <w:spacing w:after="0" w:line="315" w:lineRule="atLeast"/>
        <w:ind w:firstLine="709"/>
        <w:jc w:val="both"/>
        <w:textAlignment w:val="baseline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ru-RU"/>
        </w:rPr>
        <w:t>в нарушение подпункта 1) пункта 2 статьи 9 Закона РК «О государственных закупках» (далее - Закон) Предприятием в технических спецификациях в рамках открытых конкурсов установлены требования, которые ограничивают и необоснованно усложняют участие потенциальных поставщиков в государственных закупках;</w:t>
      </w:r>
    </w:p>
    <w:p>
      <w:pPr>
        <w:numPr>
          <w:ilvl w:val="0"/>
          <w:numId w:val="0"/>
        </w:numPr>
        <w:shd w:val="clear" w:color="auto" w:fill="FFFFFF"/>
        <w:spacing w:after="0" w:line="315" w:lineRule="atLeast"/>
        <w:ind w:left="0" w:leftChars="0" w:firstLine="658" w:firstLineChars="235"/>
        <w:jc w:val="both"/>
        <w:textAlignment w:val="baseline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lang w:val="ru-RU"/>
        </w:rPr>
        <w:t>В рамках открытого конкурса №5340148-1 от 01.03.2021 Предприятием в технической спецификации установлено требование по обеспечению объекта инженерно-техническим охранным оборудованием на период предоставления услуги охраны и наличие устройства с пультом для приема тревожной сигнализации.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658" w:firstLineChars="235"/>
        <w:jc w:val="both"/>
        <w:textAlignment w:val="baseline"/>
        <w:rPr>
          <w:rFonts w:hint="default" w:ascii="Times New Roman" w:hAnsi="Times New Roman" w:eastAsia="monospace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lang w:val="ru-RU"/>
        </w:rPr>
        <w:t>В соответствии с подпунктом 1) пункта 1 статьи 10-3 Закона РК «О противодействии коррупции» с</w:t>
      </w:r>
      <w:r>
        <w:rPr>
          <w:rFonts w:hint="default" w:ascii="Times New Roman" w:hAnsi="Times New Roman" w:eastAsia="monospace" w:cs="Times New Roman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обственники, владельцы, руководители или иные должностные лица объектов, уязвимых в террористическом отношении, с целью обеспечения их антитеррористической защищенности обязаны реализовывать в соответствии с требованиями к организации антитеррористической защиты объектов, уязвимых в террористическом отношении, мероприятия по</w:t>
      </w:r>
      <w:r>
        <w:rPr>
          <w:rFonts w:hint="default" w:ascii="Times New Roman" w:hAnsi="Times New Roman" w:eastAsia="monospace" w:cs="Times New Roman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 xml:space="preserve"> </w:t>
      </w:r>
      <w:r>
        <w:rPr>
          <w:rFonts w:hint="default" w:ascii="Times New Roman" w:hAnsi="Times New Roman" w:eastAsia="monospace" w:cs="Times New Roman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обеспечению соответствующего пропускного режима, оснащению объектов современным инженерно-техническим охранным оборудованием в соответствии с предъявляемыми к ним требованиями</w:t>
      </w:r>
      <w:r>
        <w:rPr>
          <w:rFonts w:hint="default" w:ascii="Times New Roman" w:hAnsi="Times New Roman" w:eastAsia="monospace" w:cs="Times New Roman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 xml:space="preserve">. </w:t>
      </w:r>
      <w:r>
        <w:rPr>
          <w:rFonts w:hint="default" w:ascii="Times New Roman" w:hAnsi="Times New Roman" w:eastAsia="monospace" w:cs="Times New Roman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С</w:t>
      </w:r>
      <w:r>
        <w:rPr>
          <w:rFonts w:hint="default" w:ascii="Times New Roman" w:hAnsi="Times New Roman" w:eastAsia="monospace" w:cs="Times New Roman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 xml:space="preserve">огласно пункту 1-1 статьи 10-3 вышеуказанного закона </w:t>
      </w:r>
      <w:r>
        <w:rPr>
          <w:rFonts w:hint="default" w:ascii="Times New Roman" w:hAnsi="Times New Roman" w:eastAsia="monospace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monospace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с</w:t>
      </w:r>
      <w:r>
        <w:rPr>
          <w:rFonts w:hint="default" w:ascii="Times New Roman" w:hAnsi="Times New Roman" w:eastAsia="monospace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убъекты охранной деятельности, заключившие договоры об оказании охранных услуг по объектам, уязвимым в террористическом отношении, исполняют обязанности по обеспечению соответствующего пропускного режима, организации учебных мероприятий со своим персоналом, надлежащему использованию технических средств защиты согласно требованиям к организации антитеррористической защиты объектов, уязвимых в террористическом отношении,  и инструкциям по организации антитеррористической защиты объектов, уязвимых в террористическом отношении</w:t>
      </w:r>
      <w:r>
        <w:rPr>
          <w:rFonts w:hint="default" w:ascii="Times New Roman" w:hAnsi="Times New Roman" w:eastAsia="monospace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658" w:firstLineChars="235"/>
        <w:jc w:val="both"/>
        <w:textAlignment w:val="baseline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eastAsia="monospace" w:cs="Times New Roman"/>
          <w:i w:val="0"/>
          <w:iCs w:val="0"/>
          <w:color w:val="000000"/>
          <w:spacing w:val="0"/>
          <w:sz w:val="28"/>
          <w:szCs w:val="28"/>
          <w:shd w:val="clear" w:fill="FFFFFF"/>
          <w:lang w:val="ru-RU"/>
        </w:rPr>
        <w:t>С</w:t>
      </w:r>
      <w:r>
        <w:rPr>
          <w:rFonts w:hint="default" w:ascii="Times New Roman" w:hAnsi="Times New Roman" w:eastAsia="monospace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ледовательно о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lang w:val="ru-RU"/>
        </w:rPr>
        <w:t>беспечение объекта инженерно-техническим охранным оборудованием на период предоставления услуги охраны и наличие устройства с пультом для приема тревожной сигнализации не требовалось.</w:t>
      </w:r>
      <w:bookmarkStart w:id="0" w:name="_GoBack"/>
      <w:bookmarkEnd w:id="0"/>
    </w:p>
    <w:p>
      <w:pPr>
        <w:numPr>
          <w:ilvl w:val="0"/>
          <w:numId w:val="0"/>
        </w:numPr>
        <w:shd w:val="clear" w:color="auto" w:fill="FFFFFF"/>
        <w:spacing w:after="0" w:line="315" w:lineRule="atLeast"/>
        <w:ind w:left="0" w:leftChars="0" w:firstLine="658" w:firstLineChars="235"/>
        <w:jc w:val="both"/>
        <w:textAlignment w:val="baseline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lang w:val="ru-RU"/>
        </w:rPr>
        <w:t xml:space="preserve">В рамках открытого конкурса №5338412-ОК1 от 02.03.2021 Предприятием в технической спецификации установлено требование по наличию санитарно-эпидемиологического заключения на автотранспорт для транспортировки продовольственного сырья и пищевых продуктов. Тогда как в соответствии с подпунктом 31) пункта 4 Перечня продукции и эпидемически значимых объектов, подлежащих государственному  контролю и надзору в сфере санитарно-эпидемиологического благополучия населения, утвержденного приказом  Министра здравоохранения Республики Казахстан от 30.11.2020 года №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/>
        </w:rPr>
        <w:t>ҚР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shd w:val="clear"/>
        </w:rPr>
        <w:t>ДСМ-220/2020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lang w:val="ru-RU"/>
        </w:rPr>
        <w:t>, транспортные средства, осуществляющие перевозку пищевых продуктов, продовольственного сырья, хозяйственно-питьевой воды, опасных грузов относятся к объектам незначительной эпидемической значимости.</w:t>
      </w:r>
    </w:p>
    <w:p>
      <w:pPr>
        <w:numPr>
          <w:ilvl w:val="0"/>
          <w:numId w:val="0"/>
        </w:numPr>
        <w:shd w:val="clear" w:color="auto" w:fill="FFFFFF"/>
        <w:spacing w:after="0" w:line="315" w:lineRule="atLeast"/>
        <w:ind w:left="0" w:leftChars="0" w:firstLine="658" w:firstLineChars="235"/>
        <w:jc w:val="both"/>
        <w:textAlignment w:val="baseline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lang w:val="ru-RU"/>
        </w:rPr>
        <w:t xml:space="preserve">Согласно подпункту 2) пункта 1 статьи 24 Кодекса РК «О здоровье народа и системе здравоохранения» деятельность (эксплуатация) объекта незначительной эпидемической значимости осуществляется по уведомлению. Наличие санитарно-эпидемиологического заключения на транспорт, осуществляющий перевозку продовольственного сырья и пищевых продуктов, не требовалось. </w:t>
      </w:r>
    </w:p>
    <w:p>
      <w:pPr>
        <w:numPr>
          <w:ilvl w:val="0"/>
          <w:numId w:val="0"/>
        </w:numPr>
        <w:shd w:val="clear" w:color="auto" w:fill="FFFFFF"/>
        <w:spacing w:after="0" w:line="315" w:lineRule="atLeast"/>
        <w:ind w:left="0" w:leftChars="0" w:firstLine="658" w:firstLineChars="235"/>
        <w:jc w:val="both"/>
        <w:textAlignment w:val="baseline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lang w:val="ru-RU"/>
        </w:rPr>
      </w:pPr>
    </w:p>
    <w:p>
      <w:pPr>
        <w:numPr>
          <w:ilvl w:val="0"/>
          <w:numId w:val="1"/>
        </w:numPr>
        <w:shd w:val="clear" w:color="auto" w:fill="FFFFFF"/>
        <w:spacing w:after="0" w:line="315" w:lineRule="atLeast"/>
        <w:ind w:firstLine="709"/>
        <w:jc w:val="both"/>
        <w:textAlignment w:val="baseline"/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ru-RU"/>
        </w:rPr>
        <w:t>в нарушение пункта 7 статьи 43 Закона заключены договоры о государственных закупках с нарушением сроков.</w:t>
      </w:r>
    </w:p>
    <w:p>
      <w:pPr>
        <w:numPr>
          <w:ilvl w:val="0"/>
          <w:numId w:val="0"/>
        </w:numPr>
        <w:shd w:val="clear" w:color="auto" w:fill="FFFFFF"/>
        <w:spacing w:after="0" w:line="315" w:lineRule="atLeast"/>
        <w:ind w:left="0" w:leftChars="0" w:firstLine="658" w:firstLineChars="235"/>
        <w:jc w:val="both"/>
        <w:textAlignment w:val="baseline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lang w:val="ru-RU"/>
        </w:rPr>
        <w:t>По лоту №43001682-ЗЦП1 «Отвод», победителем согласно протокола итогов признано ИП «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lang w:val="en-US"/>
        </w:rPr>
        <w:t>BASHIR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lang w:val="ru-RU"/>
        </w:rPr>
        <w:t>», который своевременно не подписал договор №172-2021 на веб-портале государственных закупок и был внесен в реестр недобросовестных участников государственных закупок 26.03.2021 года, при этом после расторжения вышеуказанного договора, со вторым победителем ИП Табыс заключен договор №203-2021 от 26.04.2021 года.</w:t>
      </w:r>
    </w:p>
    <w:p>
      <w:pPr>
        <w:numPr>
          <w:ilvl w:val="0"/>
          <w:numId w:val="0"/>
        </w:numPr>
        <w:shd w:val="clear" w:color="auto" w:fill="FFFFFF"/>
        <w:spacing w:after="0" w:line="315" w:lineRule="atLeast"/>
        <w:ind w:left="0" w:leftChars="0" w:firstLine="658" w:firstLineChars="235"/>
        <w:jc w:val="both"/>
        <w:textAlignment w:val="baseline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lang w:val="ru-RU"/>
        </w:rPr>
        <w:t>По лоту №42999888-ЗЦП1 «Валик», победителем согласно протокола итогов признано ИП «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lang w:val="en-US"/>
        </w:rPr>
        <w:t>BASHIR</w:t>
      </w:r>
      <w:r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lang w:val="ru-RU"/>
        </w:rPr>
        <w:t>», который своевременно не подписал договор №158-2021 на веб-портале государственных закупок и был внесен в реестр недобросовестных участников государственных закупок 26.03.2021 года, при этом после расторжения вышеуказанного договора, со вторым победителем ИП Табыс заключен договор №296-2021 от 05.08.2021 года.</w:t>
      </w:r>
    </w:p>
    <w:p>
      <w:pPr>
        <w:numPr>
          <w:ilvl w:val="0"/>
          <w:numId w:val="0"/>
        </w:numPr>
        <w:shd w:val="clear" w:color="auto" w:fill="FFFFFF"/>
        <w:spacing w:after="0" w:line="315" w:lineRule="atLeast"/>
        <w:ind w:left="0" w:leftChars="0" w:firstLine="658" w:firstLineChars="235"/>
        <w:jc w:val="both"/>
        <w:textAlignment w:val="baseline"/>
        <w:rPr>
          <w:rFonts w:hint="default" w:ascii="Times New Roman" w:hAnsi="Times New Roman" w:cs="Times New Roman"/>
          <w:b w:val="0"/>
          <w:bCs/>
          <w:i w:val="0"/>
          <w:iCs w:val="0"/>
          <w:sz w:val="28"/>
          <w:szCs w:val="28"/>
          <w:lang w:val="ru-RU"/>
        </w:rPr>
      </w:pP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Необходимо</w:t>
      </w:r>
      <w:r>
        <w:rPr>
          <w:rFonts w:hint="default" w:ascii="Times New Roman" w:hAnsi="Times New Roman" w:eastAsia="Times New Roman" w:cs="Times New Roman"/>
          <w:bCs/>
          <w:color w:val="000000"/>
          <w:sz w:val="28"/>
          <w:szCs w:val="28"/>
          <w:lang w:val="en-US" w:eastAsia="ru-RU"/>
        </w:rPr>
        <w:t xml:space="preserve"> н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hint="default" w:ascii="Times New Roman" w:hAnsi="Times New Roman" w:eastAsia="Times New Roman" w:cs="Times New Roman"/>
          <w:bCs/>
          <w:color w:val="000000"/>
          <w:sz w:val="28"/>
          <w:szCs w:val="28"/>
          <w:lang w:val="en-US" w:eastAsia="ru-RU"/>
        </w:rPr>
        <w:t xml:space="preserve"> постоянной основе проводить разъяснительную работу по недопущению нарушений при проведении государственных закупок.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hint="default" w:ascii="Times New Roman" w:hAnsi="Times New Roman" w:eastAsia="Times New Roman" w:cs="Times New Roman"/>
          <w:bCs/>
          <w:color w:val="000000"/>
          <w:sz w:val="28"/>
          <w:szCs w:val="28"/>
          <w:lang w:val="en-US" w:eastAsia="ru-RU"/>
        </w:rPr>
      </w:pP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Сбор налогов и иных платежей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eastAsia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/>
          <w:color w:val="000000"/>
          <w:sz w:val="28"/>
          <w:szCs w:val="28"/>
          <w:lang w:eastAsia="ru-RU"/>
        </w:rPr>
        <w:t>Коррупционные риски отсутствуют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eastAsia="Times New Roman" w:cs="Times New Roman"/>
          <w:bCs/>
          <w:i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Заключение договоров с физическими и юридическими лицами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eastAsia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/>
          <w:color w:val="000000"/>
          <w:sz w:val="28"/>
          <w:szCs w:val="28"/>
          <w:lang w:eastAsia="ru-RU"/>
        </w:rPr>
        <w:t>Коррупционные риски отсутствуют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eastAsia="Times New Roman" w:cs="Times New Roman"/>
          <w:bCs/>
          <w:i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Обеспечение прозрачности и гласности деятельности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eastAsia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/>
          <w:color w:val="000000"/>
          <w:sz w:val="28"/>
          <w:szCs w:val="28"/>
          <w:lang w:eastAsia="ru-RU"/>
        </w:rPr>
        <w:t>Коррупционные риски отсутствуют</w:t>
      </w: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eastAsia="Times New Roman" w:cs="Times New Roman"/>
          <w:bCs/>
          <w:i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315" w:lineRule="atLeast"/>
        <w:ind w:firstLine="709"/>
        <w:jc w:val="both"/>
        <w:textAlignment w:val="baseline"/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Руководитель группы                                                          И. Петренко</w:t>
      </w:r>
    </w:p>
    <w:sectPr>
      <w:pgSz w:w="11906" w:h="16838"/>
      <w:pgMar w:top="1134" w:right="850" w:bottom="1134" w:left="126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EB9051"/>
    <w:multiLevelType w:val="singleLevel"/>
    <w:tmpl w:val="F2EB9051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067FE"/>
    <w:rsid w:val="0F6079C5"/>
    <w:rsid w:val="19121BF9"/>
    <w:rsid w:val="26DA3C4F"/>
    <w:rsid w:val="2785590F"/>
    <w:rsid w:val="2D6B5392"/>
    <w:rsid w:val="2F5A7934"/>
    <w:rsid w:val="2FF66E62"/>
    <w:rsid w:val="362E0FE9"/>
    <w:rsid w:val="3AA022E7"/>
    <w:rsid w:val="3BCA48C2"/>
    <w:rsid w:val="431678B5"/>
    <w:rsid w:val="4A063112"/>
    <w:rsid w:val="4D3D4F92"/>
    <w:rsid w:val="4FCD5B1D"/>
    <w:rsid w:val="51BD4EAC"/>
    <w:rsid w:val="560C5F51"/>
    <w:rsid w:val="576229CC"/>
    <w:rsid w:val="5CB82449"/>
    <w:rsid w:val="70AD5BE3"/>
    <w:rsid w:val="71262E87"/>
    <w:rsid w:val="74CD5505"/>
    <w:rsid w:val="75892CDE"/>
    <w:rsid w:val="75A443E3"/>
    <w:rsid w:val="763D1BBC"/>
    <w:rsid w:val="7FDF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2022-03-18T06:39:00Z</dcterms:created>
  <dc:creator>PC</dc:creator>
  <cp:lastModifiedBy>PC</cp:lastModifiedBy>
  <dcterms:modified xsi:type="dcterms:W3CDTF">2022-03-28T06:04:25Z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0CDAF0863BD744D39C21EAD626F947DE</vt:lpwstr>
  </property>
</Properties>
</file>