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3" w:rsidRPr="00FD2623" w:rsidRDefault="004732FF">
      <w:pPr>
        <w:rPr>
          <w:rFonts w:ascii="Times New Roman" w:hAnsi="Times New Roman" w:cs="Times New Roman"/>
          <w:sz w:val="28"/>
          <w:szCs w:val="28"/>
        </w:rPr>
      </w:pPr>
      <w:r w:rsidRPr="00FD2623">
        <w:t xml:space="preserve">               </w:t>
      </w:r>
      <w:r w:rsidR="009E4C14" w:rsidRPr="009E4C14">
        <w:rPr>
          <w:noProof/>
        </w:rPr>
        <w:drawing>
          <wp:inline distT="0" distB="0" distL="0" distR="0">
            <wp:extent cx="365348" cy="331979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0" cy="3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</w:t>
      </w:r>
      <w:r w:rsidR="00A75BAE" w:rsidRPr="00FD2623">
        <w:t xml:space="preserve">                              </w:t>
      </w:r>
      <w:r w:rsidRPr="00FD2623">
        <w:t xml:space="preserve"> </w:t>
      </w:r>
      <w:r w:rsidR="009E4C14">
        <w:rPr>
          <w:noProof/>
        </w:rPr>
        <w:drawing>
          <wp:inline distT="0" distB="0" distL="0" distR="0">
            <wp:extent cx="595809" cy="297035"/>
            <wp:effectExtent l="19050" t="0" r="0" b="0"/>
            <wp:docPr id="2" name="Рисунок 2" descr="C:\Users\Sony\Desktop\1581027316.8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1581027316.85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8" cy="29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                         </w:t>
      </w:r>
      <w:r w:rsidR="009E4C14">
        <w:t xml:space="preserve"> </w:t>
      </w:r>
      <w:r w:rsidR="00E8603E" w:rsidRPr="00E8603E">
        <w:rPr>
          <w:noProof/>
        </w:rPr>
        <w:drawing>
          <wp:inline distT="0" distB="0" distL="0" distR="0">
            <wp:extent cx="710553" cy="244617"/>
            <wp:effectExtent l="0" t="0" r="0" b="0"/>
            <wp:docPr id="4" name="Рисунок 1" descr="Казахстанский Союз Людей Живущих с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хстанский Союз Людей Живущих с 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9" cy="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EBB">
        <w:t xml:space="preserve"> </w:t>
      </w:r>
      <w:r w:rsidR="009018C7" w:rsidRPr="00FD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C5305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хабарламас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6F7F">
        <w:rPr>
          <w:rFonts w:ascii="Times New Roman" w:hAnsi="Times New Roman" w:cs="Times New Roman"/>
          <w:sz w:val="24"/>
          <w:szCs w:val="24"/>
        </w:rPr>
        <w:t xml:space="preserve">                 01.12.23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Қазақстанда алғаш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АИТВ-ның 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>ңа жағдайларының төмендеуі байқалуда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05">
        <w:rPr>
          <w:rFonts w:ascii="Times New Roman" w:hAnsi="Times New Roman" w:cs="Times New Roman"/>
          <w:b/>
          <w:sz w:val="24"/>
          <w:szCs w:val="24"/>
        </w:rPr>
        <w:t xml:space="preserve">Елдің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, халықаралық және үкіметтік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емес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ұйымдарының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бірлескен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тиімді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қызметі АИТ</w:t>
      </w:r>
      <w:proofErr w:type="gramStart"/>
      <w:r w:rsidRPr="00CC5305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ға қарсы іс-қимыл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өзінің нәтижелілігін көрсетуде.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Елде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алғаш </w:t>
      </w:r>
      <w:proofErr w:type="spellStart"/>
      <w:r w:rsidRPr="00CC5305">
        <w:rPr>
          <w:rFonts w:ascii="Times New Roman" w:hAnsi="Times New Roman" w:cs="Times New Roman"/>
          <w:b/>
          <w:sz w:val="24"/>
          <w:szCs w:val="24"/>
        </w:rPr>
        <w:t>рет</w:t>
      </w:r>
      <w:proofErr w:type="spell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 АИТВ-инфекциясының </w:t>
      </w:r>
      <w:proofErr w:type="gramStart"/>
      <w:r w:rsidRPr="00CC5305">
        <w:rPr>
          <w:rFonts w:ascii="Times New Roman" w:hAnsi="Times New Roman" w:cs="Times New Roman"/>
          <w:b/>
          <w:sz w:val="24"/>
          <w:szCs w:val="24"/>
        </w:rPr>
        <w:t>жа</w:t>
      </w:r>
      <w:proofErr w:type="gramEnd"/>
      <w:r w:rsidRPr="00CC5305">
        <w:rPr>
          <w:rFonts w:ascii="Times New Roman" w:hAnsi="Times New Roman" w:cs="Times New Roman"/>
          <w:b/>
          <w:sz w:val="24"/>
          <w:szCs w:val="24"/>
        </w:rPr>
        <w:t xml:space="preserve">ңа жағдайларының анықталуының төмендеу үрдісі байқалды.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Соңғы бес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қабылданған шаралардың нәтижесінде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маңызды көрсеткіштердің төмендеуі байқалады: ЖИТС –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өлім-жітім, 100 мың тұ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ғынға шаққандағы сырқаттанушылық, үш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берілу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жолының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екеуі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- инъекциялық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есірткіні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қолдану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парентеральды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(қан арқылы) және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анадан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балаға жұғу.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Жүргізіліп жатқан эпидемияға қарсы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- шаралардың нәтижесінде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орташа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әлемдік 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өрсеткіш 0,7%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Қазақстан 15-49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аралығындағы халықтың 0,3%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таралуымен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АИТВ індетінің шоғырланған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сатысында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тұр (әлемде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өмір сүретін 39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оның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ШЕОА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CC530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індеті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халықтың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топтарында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(ХНТ) және олардың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айналасында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шоғырланған.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қазақстандықтар өздерінің АИТВ-мәртебесі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өбірек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білгісі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халықтың 10% - дан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астамы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тексеріледі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Бүгінгі күнде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індетінің диагнозы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өлім-жітімге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апаратын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ауру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>. Қазіргі заманғы медицинаның жеті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іктерінің арқасында ДДҰ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АИТВ-ны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созылмалы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жұқпалы ауру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таныды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өмір сүретін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(АӨ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) антиретровирустық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терапияны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(АРТ) қолдана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ұзақ және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өмір сүре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отбасылары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дені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>- БҰ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ның 2021 жылғы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декларациясының мақсатын және ЮНЭЙДС 95-95-95 мақсаттарын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шеңберінде Қазақстанда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өмір сүретін адамдардың 87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өздерінің АИТВ - мәртебесі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оның 87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АРТ қабылдайды, 88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пайызында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вирустық жүктеме төмендеген, -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өтті ҚР ДСМ Қазақ дерматология және инфекциялық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Бес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антиретровирустық препараттардың бағасы 2-40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төмендеді. Қаржы құралдарын үнемдеу АРТ АӨ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 қамтуды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есеге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ұлғайтуға және ТМККК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тізіміне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емдеудің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тиімділігі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мен қауіпсіздік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жоғары бес жаңа инновациялық антиретровирустық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препараттарды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Бүгінгі таңда 18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АРВ-препарат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жән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немесе) жеңілдікпен амбулаториялық қамтамасыз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арналған дәрілік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мен медициналық бұйымдар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тізбесіне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ҚР-да ДДҰ ұсынған профилактикалық бағдарламалардың барлық 12 бағыты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енгізілді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стратегиясындағы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инновация 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жанасу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профилактиканы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>. Бү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інде оны 4793 клиент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lastRenderedPageBreak/>
        <w:t>ЮНЭЙДС-т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ің Д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үниежүзілік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ЖИТС-ке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қарсы күрес күніне арналған Бүкіләлемдік науқанының ұраны - "Көшбасшылық-қоғамдастықтарға". ҮЕҰ -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АИТВ-инфекциясын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еңсеру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мемлекеттің тұрақты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серіктесі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Қоғамдастықтар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емделуші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денсаулық сақтау қызметтерімен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байланыстырады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сенімділікті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арттырады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инновацияларды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енгізеді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саясатты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асыруды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және қызмет көрсетуді бақылайды.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қызметкерлері мен еріктілердің ХНТ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ортасына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қолжетімділі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гі жа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қсы.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профилактикалық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тестілеу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жүргізеді,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презервативтер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шприцтер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таратады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диагнозды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түпкілікті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үшін ЖИТС орталықтарына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әлеуметтік келісімшарттың арқасында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топтармен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әлеуметтік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алған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 xml:space="preserve"> ҮЕ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Ұ саны 4 өңірде 5-тен 10 өңірде 14-ке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өсті. 2023 жылдың 10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ҮЕҰ қатысуымен АИТВ-инфекциясының 158 жағдайы анықталды. ҮЕ</w:t>
      </w:r>
      <w:proofErr w:type="gramStart"/>
      <w:r w:rsidRPr="00CC5305">
        <w:rPr>
          <w:rFonts w:ascii="Times New Roman" w:hAnsi="Times New Roman" w:cs="Times New Roman"/>
          <w:sz w:val="24"/>
          <w:szCs w:val="24"/>
        </w:rPr>
        <w:t>Ұ-</w:t>
      </w:r>
      <w:proofErr w:type="gramEnd"/>
      <w:r w:rsidRPr="00CC5305">
        <w:rPr>
          <w:rFonts w:ascii="Times New Roman" w:hAnsi="Times New Roman" w:cs="Times New Roman"/>
          <w:sz w:val="24"/>
          <w:szCs w:val="24"/>
        </w:rPr>
        <w:t xml:space="preserve">ның неғұрлым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қатысуы АИТВ-ға қарсы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күш-жігерге қол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жеткізуде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жүргізетін шаралардың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 xml:space="preserve"> арттыруға соғұрлым ықпал </w:t>
      </w: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>.</w:t>
      </w: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305" w:rsidRPr="00CC530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r w:rsidRPr="00CC5305">
        <w:rPr>
          <w:rFonts w:ascii="Times New Roman" w:hAnsi="Times New Roman" w:cs="Times New Roman"/>
          <w:sz w:val="24"/>
          <w:szCs w:val="24"/>
        </w:rPr>
        <w:t xml:space="preserve">ҚДИАҒО баспасөз қызметі </w:t>
      </w:r>
    </w:p>
    <w:p w:rsidR="00A778B5" w:rsidRDefault="00CC5305" w:rsidP="00CC53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305">
        <w:rPr>
          <w:rFonts w:ascii="Times New Roman" w:hAnsi="Times New Roman" w:cs="Times New Roman"/>
          <w:sz w:val="24"/>
          <w:szCs w:val="24"/>
        </w:rPr>
        <w:t>Байланысушы</w:t>
      </w:r>
      <w:proofErr w:type="spellEnd"/>
      <w:r w:rsidRPr="00CC5305">
        <w:rPr>
          <w:rFonts w:ascii="Times New Roman" w:hAnsi="Times New Roman" w:cs="Times New Roman"/>
          <w:sz w:val="24"/>
          <w:szCs w:val="24"/>
        </w:rPr>
        <w:t>: Марина Максимова +7 7772254601 marina_maximova@rambler.ru</w:t>
      </w:r>
    </w:p>
    <w:sectPr w:rsidR="00A778B5" w:rsidSect="006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4C14"/>
    <w:rsid w:val="00024F3F"/>
    <w:rsid w:val="00066D04"/>
    <w:rsid w:val="00093DF4"/>
    <w:rsid w:val="000A4613"/>
    <w:rsid w:val="00116C51"/>
    <w:rsid w:val="00144E25"/>
    <w:rsid w:val="00183343"/>
    <w:rsid w:val="002A1E1F"/>
    <w:rsid w:val="002B3869"/>
    <w:rsid w:val="002C76BB"/>
    <w:rsid w:val="002E355D"/>
    <w:rsid w:val="003250D7"/>
    <w:rsid w:val="00330B3D"/>
    <w:rsid w:val="003A26B3"/>
    <w:rsid w:val="003D1BA2"/>
    <w:rsid w:val="003D4E17"/>
    <w:rsid w:val="004732FF"/>
    <w:rsid w:val="00473B6D"/>
    <w:rsid w:val="004B434E"/>
    <w:rsid w:val="004E5F81"/>
    <w:rsid w:val="00501E38"/>
    <w:rsid w:val="00536CCD"/>
    <w:rsid w:val="00552219"/>
    <w:rsid w:val="005944FC"/>
    <w:rsid w:val="005B7882"/>
    <w:rsid w:val="005C5ADD"/>
    <w:rsid w:val="005D0EB9"/>
    <w:rsid w:val="005D6F7F"/>
    <w:rsid w:val="005E0EBB"/>
    <w:rsid w:val="00607E92"/>
    <w:rsid w:val="00624F6F"/>
    <w:rsid w:val="0066588F"/>
    <w:rsid w:val="006737C7"/>
    <w:rsid w:val="006C6454"/>
    <w:rsid w:val="006D722A"/>
    <w:rsid w:val="006F18B6"/>
    <w:rsid w:val="00701D31"/>
    <w:rsid w:val="00715C67"/>
    <w:rsid w:val="007163D6"/>
    <w:rsid w:val="007A6A55"/>
    <w:rsid w:val="007F1CC3"/>
    <w:rsid w:val="009018C7"/>
    <w:rsid w:val="00932269"/>
    <w:rsid w:val="009C73AF"/>
    <w:rsid w:val="009D397B"/>
    <w:rsid w:val="009E4C14"/>
    <w:rsid w:val="00A00C3C"/>
    <w:rsid w:val="00A06E6E"/>
    <w:rsid w:val="00A33334"/>
    <w:rsid w:val="00A75BAE"/>
    <w:rsid w:val="00A76C40"/>
    <w:rsid w:val="00A778B5"/>
    <w:rsid w:val="00AA0AAE"/>
    <w:rsid w:val="00AE77C8"/>
    <w:rsid w:val="00B64B60"/>
    <w:rsid w:val="00BE544C"/>
    <w:rsid w:val="00C12E92"/>
    <w:rsid w:val="00C9269B"/>
    <w:rsid w:val="00CC5305"/>
    <w:rsid w:val="00CF28B3"/>
    <w:rsid w:val="00D059F0"/>
    <w:rsid w:val="00D50416"/>
    <w:rsid w:val="00D94EEE"/>
    <w:rsid w:val="00DD46A3"/>
    <w:rsid w:val="00E0184E"/>
    <w:rsid w:val="00E17DDE"/>
    <w:rsid w:val="00E21DF3"/>
    <w:rsid w:val="00E24A34"/>
    <w:rsid w:val="00E44015"/>
    <w:rsid w:val="00E8603E"/>
    <w:rsid w:val="00EA12C4"/>
    <w:rsid w:val="00EE03D9"/>
    <w:rsid w:val="00F00EC4"/>
    <w:rsid w:val="00F92936"/>
    <w:rsid w:val="00FC3D42"/>
    <w:rsid w:val="00FD2623"/>
    <w:rsid w:val="00FE1D98"/>
    <w:rsid w:val="00FE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2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43</cp:revision>
  <dcterms:created xsi:type="dcterms:W3CDTF">2022-11-17T06:13:00Z</dcterms:created>
  <dcterms:modified xsi:type="dcterms:W3CDTF">2023-11-30T03:11:00Z</dcterms:modified>
</cp:coreProperties>
</file>